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91146" w14:textId="77777777" w:rsidR="00FE22F4" w:rsidRDefault="00FE22F4" w:rsidP="00767FEC">
      <w:pPr>
        <w:spacing w:line="320" w:lineRule="exact"/>
        <w:jc w:val="both"/>
        <w:rPr>
          <w:rFonts w:ascii="Arial" w:hAnsi="Arial" w:cs="Arial"/>
          <w:b/>
          <w:sz w:val="22"/>
          <w:szCs w:val="22"/>
          <w:lang w:val="en-US"/>
        </w:rPr>
      </w:pPr>
      <w:bookmarkStart w:id="0" w:name="_GoBack"/>
      <w:bookmarkEnd w:id="0"/>
    </w:p>
    <w:p w14:paraId="45A869BE" w14:textId="77777777" w:rsidR="006F467B" w:rsidRPr="00566E12" w:rsidRDefault="005767C8" w:rsidP="00767FEC">
      <w:pPr>
        <w:spacing w:line="320" w:lineRule="exact"/>
        <w:jc w:val="both"/>
        <w:rPr>
          <w:rFonts w:ascii="Arial" w:hAnsi="Arial" w:cs="Arial"/>
          <w:b/>
          <w:sz w:val="22"/>
          <w:szCs w:val="22"/>
          <w:lang w:val="en-US"/>
        </w:rPr>
      </w:pPr>
      <w:r>
        <w:rPr>
          <w:rFonts w:ascii="Arial" w:hAnsi="Arial" w:cs="Arial"/>
          <w:b/>
          <w:noProof/>
          <w:sz w:val="22"/>
          <w:szCs w:val="22"/>
          <w:lang w:val="tr-TR" w:eastAsia="tr-TR"/>
        </w:rPr>
        <mc:AlternateContent>
          <mc:Choice Requires="wps">
            <w:drawing>
              <wp:anchor distT="0" distB="0" distL="114300" distR="114300" simplePos="0" relativeHeight="251658240" behindDoc="0" locked="0" layoutInCell="1" allowOverlap="1" wp14:anchorId="1072A404" wp14:editId="6B9B269E">
                <wp:simplePos x="0" y="0"/>
                <wp:positionH relativeFrom="column">
                  <wp:posOffset>4483100</wp:posOffset>
                </wp:positionH>
                <wp:positionV relativeFrom="paragraph">
                  <wp:posOffset>-100965</wp:posOffset>
                </wp:positionV>
                <wp:extent cx="1273175" cy="17208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720850"/>
                        </a:xfrm>
                        <a:prstGeom prst="rect">
                          <a:avLst/>
                        </a:prstGeom>
                        <a:solidFill>
                          <a:srgbClr val="FFFFFF"/>
                        </a:solidFill>
                        <a:ln w="9525">
                          <a:solidFill>
                            <a:srgbClr val="000000"/>
                          </a:solidFill>
                          <a:miter lim="800000"/>
                          <a:headEnd/>
                          <a:tailEnd/>
                        </a:ln>
                      </wps:spPr>
                      <wps:txbx>
                        <w:txbxContent>
                          <w:p w14:paraId="44D63D8E" w14:textId="77777777" w:rsidR="005D0BA8" w:rsidRDefault="005767C8">
                            <w:r>
                              <w:rPr>
                                <w:noProof/>
                                <w:lang w:val="tr-TR" w:eastAsia="tr-TR"/>
                              </w:rPr>
                              <w:drawing>
                                <wp:inline distT="0" distB="0" distL="0" distR="0" wp14:anchorId="430F2600" wp14:editId="35B37426">
                                  <wp:extent cx="1082675" cy="1616710"/>
                                  <wp:effectExtent l="0" t="0" r="0" b="0"/>
                                  <wp:docPr id="2" name="Picture 2" descr="Favorit mit Sacco_suesal_caner_immunologi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orit mit Sacco_suesal_caner_immunologie_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675" cy="1616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72A404" id="_x0000_t202" coordsize="21600,21600" o:spt="202" path="m,l,21600r21600,l21600,xe">
                <v:stroke joinstyle="miter"/>
                <v:path gradientshapeok="t" o:connecttype="rect"/>
              </v:shapetype>
              <v:shape id="Text Box 3" o:spid="_x0000_s1026" type="#_x0000_t202" style="position:absolute;left:0;text-align:left;margin-left:353pt;margin-top:-7.95pt;width:100.25pt;height:13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">
                <v:textbox style="mso-fit-shape-to-text:t">
                  <w:txbxContent>
                    <w:p w14:paraId="44D63D8E" w14:textId="77777777" w:rsidR="005D0BA8" w:rsidRDefault="005767C8">
                      <w:r>
                        <w:rPr>
                          <w:noProof/>
                          <w:lang w:val="tr-TR" w:eastAsia="tr-TR"/>
                        </w:rPr>
                        <w:drawing>
                          <wp:inline distT="0" distB="0" distL="0" distR="0" wp14:anchorId="430F2600" wp14:editId="35B37426">
                            <wp:extent cx="1082675" cy="1616710"/>
                            <wp:effectExtent l="0" t="0" r="0" b="0"/>
                            <wp:docPr id="2" name="Picture 2" descr="Favorit mit Sacco_suesal_caner_immunologi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orit mit Sacco_suesal_caner_immunologie_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675" cy="1616710"/>
                                    </a:xfrm>
                                    <a:prstGeom prst="rect">
                                      <a:avLst/>
                                    </a:prstGeom>
                                    <a:noFill/>
                                    <a:ln>
                                      <a:noFill/>
                                    </a:ln>
                                  </pic:spPr>
                                </pic:pic>
                              </a:graphicData>
                            </a:graphic>
                          </wp:inline>
                        </w:drawing>
                      </w:r>
                    </w:p>
                  </w:txbxContent>
                </v:textbox>
              </v:shape>
            </w:pict>
          </mc:Fallback>
        </mc:AlternateContent>
      </w:r>
      <w:r w:rsidR="006F467B" w:rsidRPr="00566E12">
        <w:rPr>
          <w:rFonts w:ascii="Arial" w:hAnsi="Arial" w:cs="Arial"/>
          <w:b/>
          <w:sz w:val="22"/>
          <w:szCs w:val="22"/>
          <w:lang w:val="en-US"/>
        </w:rPr>
        <w:t xml:space="preserve">Personal </w:t>
      </w:r>
      <w:r w:rsidR="003051B3">
        <w:rPr>
          <w:rFonts w:ascii="Arial" w:hAnsi="Arial" w:cs="Arial"/>
          <w:b/>
          <w:sz w:val="22"/>
          <w:szCs w:val="22"/>
          <w:lang w:val="en-US"/>
        </w:rPr>
        <w:t>Details</w:t>
      </w:r>
    </w:p>
    <w:p w14:paraId="6A044FBE" w14:textId="77777777" w:rsidR="006F467B" w:rsidRPr="00566E12" w:rsidRDefault="006F467B" w:rsidP="00C11C23">
      <w:pPr>
        <w:tabs>
          <w:tab w:val="left" w:pos="1418"/>
          <w:tab w:val="left" w:pos="1701"/>
        </w:tabs>
        <w:spacing w:before="120" w:line="320" w:lineRule="exact"/>
        <w:jc w:val="both"/>
        <w:rPr>
          <w:rFonts w:ascii="Arial" w:hAnsi="Arial" w:cs="Arial"/>
          <w:sz w:val="22"/>
          <w:szCs w:val="22"/>
          <w:lang w:val="en-US"/>
        </w:rPr>
      </w:pPr>
      <w:r w:rsidRPr="00566E12">
        <w:rPr>
          <w:rFonts w:ascii="Arial" w:hAnsi="Arial" w:cs="Arial"/>
          <w:sz w:val="22"/>
          <w:szCs w:val="22"/>
          <w:lang w:val="en-US"/>
        </w:rPr>
        <w:t>Name</w:t>
      </w:r>
      <w:r w:rsidR="00C11C23">
        <w:rPr>
          <w:rFonts w:ascii="Arial" w:hAnsi="Arial" w:cs="Arial"/>
          <w:sz w:val="22"/>
          <w:szCs w:val="22"/>
          <w:lang w:val="en-US"/>
        </w:rPr>
        <w:tab/>
        <w:t>:</w:t>
      </w:r>
      <w:r w:rsidR="00C11C23">
        <w:rPr>
          <w:rFonts w:ascii="Arial" w:hAnsi="Arial" w:cs="Arial"/>
          <w:sz w:val="22"/>
          <w:szCs w:val="22"/>
          <w:lang w:val="en-US"/>
        </w:rPr>
        <w:tab/>
      </w:r>
      <w:r w:rsidRPr="00566E12">
        <w:rPr>
          <w:rFonts w:ascii="Arial" w:hAnsi="Arial" w:cs="Arial"/>
          <w:sz w:val="22"/>
          <w:szCs w:val="22"/>
          <w:lang w:val="en-US"/>
        </w:rPr>
        <w:t>Caner Süsal</w:t>
      </w:r>
    </w:p>
    <w:p w14:paraId="42742016" w14:textId="77777777" w:rsidR="006F467B" w:rsidRPr="00566E12" w:rsidRDefault="006F467B" w:rsidP="00C11C23">
      <w:pPr>
        <w:tabs>
          <w:tab w:val="left" w:pos="1418"/>
          <w:tab w:val="left" w:pos="1701"/>
        </w:tabs>
        <w:spacing w:before="120" w:line="320" w:lineRule="exact"/>
        <w:jc w:val="both"/>
        <w:rPr>
          <w:rFonts w:ascii="Arial" w:hAnsi="Arial" w:cs="Arial"/>
          <w:sz w:val="22"/>
          <w:szCs w:val="22"/>
          <w:lang w:val="en-US"/>
        </w:rPr>
      </w:pPr>
      <w:r w:rsidRPr="00566E12">
        <w:rPr>
          <w:rFonts w:ascii="Arial" w:hAnsi="Arial" w:cs="Arial"/>
          <w:sz w:val="22"/>
          <w:szCs w:val="22"/>
          <w:lang w:val="en-US"/>
        </w:rPr>
        <w:t>Sex</w:t>
      </w:r>
      <w:r w:rsidR="0002532F" w:rsidRPr="00566E12">
        <w:rPr>
          <w:rFonts w:ascii="Arial" w:hAnsi="Arial" w:cs="Arial"/>
          <w:sz w:val="22"/>
          <w:szCs w:val="22"/>
          <w:lang w:val="en-US"/>
        </w:rPr>
        <w:tab/>
      </w:r>
      <w:r w:rsidRPr="00566E12">
        <w:rPr>
          <w:rFonts w:ascii="Arial" w:hAnsi="Arial" w:cs="Arial"/>
          <w:sz w:val="22"/>
          <w:szCs w:val="22"/>
          <w:lang w:val="en-US"/>
        </w:rPr>
        <w:t>:</w:t>
      </w:r>
      <w:r w:rsidR="00C11C23">
        <w:rPr>
          <w:rFonts w:ascii="Arial" w:hAnsi="Arial" w:cs="Arial"/>
          <w:sz w:val="22"/>
          <w:szCs w:val="22"/>
          <w:lang w:val="en-US"/>
        </w:rPr>
        <w:tab/>
      </w:r>
      <w:r w:rsidRPr="00566E12">
        <w:rPr>
          <w:rFonts w:ascii="Arial" w:hAnsi="Arial" w:cs="Arial"/>
          <w:sz w:val="22"/>
          <w:szCs w:val="22"/>
          <w:lang w:val="en-US"/>
        </w:rPr>
        <w:t>Male</w:t>
      </w:r>
    </w:p>
    <w:p w14:paraId="7BFFD3B1" w14:textId="77777777" w:rsidR="006F467B" w:rsidRPr="00566E12" w:rsidRDefault="006F467B" w:rsidP="00C11C23">
      <w:pPr>
        <w:tabs>
          <w:tab w:val="left" w:pos="1418"/>
          <w:tab w:val="left" w:pos="1701"/>
        </w:tabs>
        <w:spacing w:before="120" w:line="320" w:lineRule="exact"/>
        <w:jc w:val="both"/>
        <w:rPr>
          <w:rFonts w:ascii="Arial" w:hAnsi="Arial" w:cs="Arial"/>
          <w:sz w:val="22"/>
          <w:szCs w:val="22"/>
          <w:lang w:val="en-US"/>
        </w:rPr>
      </w:pPr>
      <w:r w:rsidRPr="00566E12">
        <w:rPr>
          <w:rFonts w:ascii="Arial" w:hAnsi="Arial" w:cs="Arial"/>
          <w:sz w:val="22"/>
          <w:szCs w:val="22"/>
          <w:lang w:val="en-US"/>
        </w:rPr>
        <w:t>Profession</w:t>
      </w:r>
      <w:r w:rsidR="0002532F" w:rsidRPr="00566E12">
        <w:rPr>
          <w:rFonts w:ascii="Arial" w:hAnsi="Arial" w:cs="Arial"/>
          <w:sz w:val="22"/>
          <w:szCs w:val="22"/>
          <w:lang w:val="en-US"/>
        </w:rPr>
        <w:tab/>
      </w:r>
      <w:r w:rsidR="00C11C23">
        <w:rPr>
          <w:rFonts w:ascii="Arial" w:hAnsi="Arial" w:cs="Arial"/>
          <w:sz w:val="22"/>
          <w:szCs w:val="22"/>
          <w:lang w:val="en-US"/>
        </w:rPr>
        <w:t>:</w:t>
      </w:r>
      <w:r w:rsidR="00C11C23">
        <w:rPr>
          <w:rFonts w:ascii="Arial" w:hAnsi="Arial" w:cs="Arial"/>
          <w:sz w:val="22"/>
          <w:szCs w:val="22"/>
          <w:lang w:val="en-US"/>
        </w:rPr>
        <w:tab/>
      </w:r>
      <w:r w:rsidRPr="00566E12">
        <w:rPr>
          <w:rFonts w:ascii="Arial" w:hAnsi="Arial" w:cs="Arial"/>
          <w:sz w:val="22"/>
          <w:szCs w:val="22"/>
          <w:lang w:val="en-US"/>
        </w:rPr>
        <w:t>Physician</w:t>
      </w:r>
    </w:p>
    <w:p w14:paraId="20691621" w14:textId="77777777" w:rsidR="006F467B" w:rsidRPr="00566E12" w:rsidRDefault="006F467B" w:rsidP="00C11C23">
      <w:pPr>
        <w:tabs>
          <w:tab w:val="left" w:pos="1418"/>
          <w:tab w:val="left" w:pos="1701"/>
        </w:tabs>
        <w:spacing w:before="120" w:line="320" w:lineRule="exact"/>
        <w:jc w:val="both"/>
        <w:rPr>
          <w:rFonts w:ascii="Arial" w:hAnsi="Arial" w:cs="Arial"/>
          <w:sz w:val="22"/>
          <w:szCs w:val="22"/>
          <w:lang w:val="en-US"/>
        </w:rPr>
      </w:pPr>
      <w:r w:rsidRPr="00566E12">
        <w:rPr>
          <w:rFonts w:ascii="Arial" w:hAnsi="Arial" w:cs="Arial"/>
          <w:sz w:val="22"/>
          <w:szCs w:val="22"/>
          <w:lang w:val="en-US"/>
        </w:rPr>
        <w:t>Date of Birth</w:t>
      </w:r>
      <w:r w:rsidR="0002532F" w:rsidRPr="00566E12">
        <w:rPr>
          <w:rFonts w:ascii="Arial" w:hAnsi="Arial" w:cs="Arial"/>
          <w:sz w:val="22"/>
          <w:szCs w:val="22"/>
          <w:lang w:val="en-US"/>
        </w:rPr>
        <w:tab/>
      </w:r>
      <w:r w:rsidR="00C11C23">
        <w:rPr>
          <w:rFonts w:ascii="Arial" w:hAnsi="Arial" w:cs="Arial"/>
          <w:sz w:val="22"/>
          <w:szCs w:val="22"/>
          <w:lang w:val="en-US"/>
        </w:rPr>
        <w:t>:</w:t>
      </w:r>
      <w:r w:rsidR="00C11C23">
        <w:rPr>
          <w:rFonts w:ascii="Arial" w:hAnsi="Arial" w:cs="Arial"/>
          <w:sz w:val="22"/>
          <w:szCs w:val="22"/>
          <w:lang w:val="en-US"/>
        </w:rPr>
        <w:tab/>
      </w:r>
      <w:r w:rsidRPr="00566E12">
        <w:rPr>
          <w:rFonts w:ascii="Arial" w:hAnsi="Arial" w:cs="Arial"/>
          <w:sz w:val="22"/>
          <w:szCs w:val="22"/>
          <w:lang w:val="en-US"/>
        </w:rPr>
        <w:t>March 27, 1961</w:t>
      </w:r>
    </w:p>
    <w:p w14:paraId="7A82A7F5" w14:textId="77777777" w:rsidR="006F467B" w:rsidRPr="00566E12" w:rsidRDefault="006F467B" w:rsidP="00C11C23">
      <w:pPr>
        <w:tabs>
          <w:tab w:val="left" w:pos="1418"/>
          <w:tab w:val="left" w:pos="1701"/>
        </w:tabs>
        <w:spacing w:before="120" w:line="320" w:lineRule="exact"/>
        <w:jc w:val="both"/>
        <w:rPr>
          <w:rFonts w:ascii="Arial" w:hAnsi="Arial" w:cs="Arial"/>
          <w:sz w:val="22"/>
          <w:szCs w:val="22"/>
          <w:lang w:val="en-US"/>
        </w:rPr>
      </w:pPr>
      <w:r w:rsidRPr="00566E12">
        <w:rPr>
          <w:rFonts w:ascii="Arial" w:hAnsi="Arial" w:cs="Arial"/>
          <w:sz w:val="22"/>
          <w:szCs w:val="22"/>
          <w:lang w:val="en-US"/>
        </w:rPr>
        <w:t>Place of Birth</w:t>
      </w:r>
      <w:r w:rsidR="0002532F" w:rsidRPr="00566E12">
        <w:rPr>
          <w:rFonts w:ascii="Arial" w:hAnsi="Arial" w:cs="Arial"/>
          <w:sz w:val="22"/>
          <w:szCs w:val="22"/>
          <w:lang w:val="en-US"/>
        </w:rPr>
        <w:tab/>
      </w:r>
      <w:r w:rsidR="00C11C23">
        <w:rPr>
          <w:rFonts w:ascii="Arial" w:hAnsi="Arial" w:cs="Arial"/>
          <w:sz w:val="22"/>
          <w:szCs w:val="22"/>
          <w:lang w:val="en-US"/>
        </w:rPr>
        <w:t>:</w:t>
      </w:r>
      <w:r w:rsidR="00C11C23">
        <w:rPr>
          <w:rFonts w:ascii="Arial" w:hAnsi="Arial" w:cs="Arial"/>
          <w:sz w:val="22"/>
          <w:szCs w:val="22"/>
          <w:lang w:val="en-US"/>
        </w:rPr>
        <w:tab/>
      </w:r>
      <w:r w:rsidRPr="00566E12">
        <w:rPr>
          <w:rFonts w:ascii="Arial" w:hAnsi="Arial" w:cs="Arial"/>
          <w:sz w:val="22"/>
          <w:szCs w:val="22"/>
          <w:lang w:val="en-US"/>
        </w:rPr>
        <w:t>Konya, Turkey</w:t>
      </w:r>
    </w:p>
    <w:p w14:paraId="01725626" w14:textId="77777777" w:rsidR="0002532F" w:rsidRPr="00566E12" w:rsidRDefault="0002532F" w:rsidP="000C0313">
      <w:pPr>
        <w:tabs>
          <w:tab w:val="left" w:pos="720"/>
          <w:tab w:val="left" w:pos="1701"/>
          <w:tab w:val="left" w:pos="2160"/>
        </w:tabs>
        <w:spacing w:before="240" w:line="320" w:lineRule="exact"/>
        <w:ind w:left="1701" w:hanging="1701"/>
        <w:rPr>
          <w:rFonts w:ascii="Arial" w:hAnsi="Arial" w:cs="Arial"/>
          <w:b/>
          <w:iCs/>
          <w:sz w:val="22"/>
          <w:szCs w:val="22"/>
          <w:lang w:val="en-US"/>
        </w:rPr>
      </w:pPr>
      <w:r w:rsidRPr="00566E12">
        <w:rPr>
          <w:rFonts w:ascii="Arial" w:hAnsi="Arial" w:cs="Arial"/>
          <w:b/>
          <w:iCs/>
          <w:sz w:val="22"/>
          <w:szCs w:val="22"/>
          <w:lang w:val="en-US"/>
        </w:rPr>
        <w:t>Education</w:t>
      </w:r>
    </w:p>
    <w:p w14:paraId="1A5F91E6" w14:textId="77777777" w:rsidR="0002532F" w:rsidRPr="00566E12" w:rsidRDefault="00C11C23" w:rsidP="009D2A52">
      <w:pPr>
        <w:tabs>
          <w:tab w:val="left" w:pos="1418"/>
          <w:tab w:val="left" w:pos="3119"/>
        </w:tabs>
        <w:spacing w:before="120" w:line="320" w:lineRule="exact"/>
        <w:ind w:left="1701" w:hanging="1701"/>
        <w:rPr>
          <w:rFonts w:ascii="Arial" w:hAnsi="Arial" w:cs="Arial"/>
          <w:sz w:val="22"/>
          <w:szCs w:val="22"/>
          <w:lang w:val="en-US"/>
        </w:rPr>
      </w:pPr>
      <w:r>
        <w:rPr>
          <w:rFonts w:ascii="Arial" w:hAnsi="Arial" w:cs="Arial"/>
          <w:sz w:val="22"/>
          <w:szCs w:val="22"/>
          <w:lang w:val="en-US"/>
        </w:rPr>
        <w:t>1972–1980</w:t>
      </w:r>
      <w:r>
        <w:rPr>
          <w:rFonts w:ascii="Arial" w:hAnsi="Arial" w:cs="Arial"/>
          <w:sz w:val="22"/>
          <w:szCs w:val="22"/>
          <w:lang w:val="en-US"/>
        </w:rPr>
        <w:tab/>
      </w:r>
      <w:r>
        <w:rPr>
          <w:rFonts w:ascii="Arial" w:hAnsi="Arial" w:cs="Arial"/>
          <w:sz w:val="22"/>
          <w:szCs w:val="22"/>
          <w:lang w:val="en-US"/>
        </w:rPr>
        <w:tab/>
      </w:r>
      <w:r w:rsidR="0002532F" w:rsidRPr="00566E12">
        <w:rPr>
          <w:rFonts w:ascii="Arial" w:hAnsi="Arial" w:cs="Arial"/>
          <w:sz w:val="22"/>
          <w:szCs w:val="22"/>
          <w:lang w:val="en-US"/>
        </w:rPr>
        <w:t>German High School Istanbul, Turkey</w:t>
      </w:r>
    </w:p>
    <w:p w14:paraId="5F6CF0D5" w14:textId="77777777" w:rsidR="0002532F" w:rsidRPr="00566E12" w:rsidRDefault="00C11C23" w:rsidP="0002532F">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1980</w:t>
      </w:r>
      <w:r w:rsidRPr="00C11C23">
        <w:rPr>
          <w:rFonts w:ascii="Arial" w:hAnsi="Arial" w:cs="Arial"/>
          <w:sz w:val="22"/>
          <w:szCs w:val="22"/>
          <w:lang w:val="en-US"/>
        </w:rPr>
        <w:t>–</w:t>
      </w:r>
      <w:r>
        <w:rPr>
          <w:rFonts w:ascii="Arial" w:hAnsi="Arial" w:cs="Arial"/>
          <w:sz w:val="22"/>
          <w:szCs w:val="22"/>
          <w:lang w:val="en-US"/>
        </w:rPr>
        <w:t>1986</w:t>
      </w:r>
      <w:r>
        <w:rPr>
          <w:rFonts w:ascii="Arial" w:hAnsi="Arial" w:cs="Arial"/>
          <w:sz w:val="22"/>
          <w:szCs w:val="22"/>
          <w:lang w:val="en-US"/>
        </w:rPr>
        <w:tab/>
      </w:r>
      <w:r>
        <w:rPr>
          <w:rFonts w:ascii="Arial" w:hAnsi="Arial" w:cs="Arial"/>
          <w:sz w:val="22"/>
          <w:szCs w:val="22"/>
          <w:lang w:val="en-US"/>
        </w:rPr>
        <w:tab/>
      </w:r>
      <w:r w:rsidR="0002532F" w:rsidRPr="00566E12">
        <w:rPr>
          <w:rFonts w:ascii="Arial" w:hAnsi="Arial" w:cs="Arial"/>
          <w:sz w:val="22"/>
          <w:szCs w:val="22"/>
          <w:lang w:val="en-US"/>
        </w:rPr>
        <w:t>Medical School, University of Heidelberg, Germany</w:t>
      </w:r>
    </w:p>
    <w:p w14:paraId="715FFD45" w14:textId="77777777" w:rsidR="0002532F" w:rsidRPr="00566E12" w:rsidRDefault="00C11C23" w:rsidP="0002532F">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1984</w:t>
      </w:r>
      <w:r w:rsidRPr="00C11C23">
        <w:rPr>
          <w:rFonts w:ascii="Arial" w:hAnsi="Arial" w:cs="Arial"/>
          <w:sz w:val="22"/>
          <w:szCs w:val="22"/>
          <w:lang w:val="en-US"/>
        </w:rPr>
        <w:t>–</w:t>
      </w:r>
      <w:r>
        <w:rPr>
          <w:rFonts w:ascii="Arial" w:hAnsi="Arial" w:cs="Arial"/>
          <w:sz w:val="22"/>
          <w:szCs w:val="22"/>
          <w:lang w:val="en-US"/>
        </w:rPr>
        <w:t>1988</w:t>
      </w:r>
      <w:r>
        <w:rPr>
          <w:rFonts w:ascii="Arial" w:hAnsi="Arial" w:cs="Arial"/>
          <w:sz w:val="22"/>
          <w:szCs w:val="22"/>
          <w:lang w:val="en-US"/>
        </w:rPr>
        <w:tab/>
      </w:r>
      <w:r>
        <w:rPr>
          <w:rFonts w:ascii="Arial" w:hAnsi="Arial" w:cs="Arial"/>
          <w:sz w:val="22"/>
          <w:szCs w:val="22"/>
          <w:lang w:val="en-US"/>
        </w:rPr>
        <w:tab/>
      </w:r>
      <w:r w:rsidR="0002532F" w:rsidRPr="00566E12">
        <w:rPr>
          <w:rFonts w:ascii="Arial" w:hAnsi="Arial" w:cs="Arial"/>
          <w:sz w:val="22"/>
          <w:szCs w:val="22"/>
          <w:lang w:val="en-US"/>
        </w:rPr>
        <w:t xml:space="preserve">Training for a doctorate's degree </w:t>
      </w:r>
      <w:r w:rsidR="006B4B14">
        <w:rPr>
          <w:rFonts w:ascii="Arial" w:hAnsi="Arial" w:cs="Arial"/>
          <w:sz w:val="22"/>
          <w:szCs w:val="22"/>
          <w:lang w:val="en-US"/>
        </w:rPr>
        <w:t>in the</w:t>
      </w:r>
      <w:r w:rsidR="0002532F" w:rsidRPr="00566E12">
        <w:rPr>
          <w:rFonts w:ascii="Arial" w:hAnsi="Arial" w:cs="Arial"/>
          <w:sz w:val="22"/>
          <w:szCs w:val="22"/>
          <w:lang w:val="en-US"/>
        </w:rPr>
        <w:t xml:space="preserve"> </w:t>
      </w:r>
      <w:r w:rsidR="006B4B14">
        <w:rPr>
          <w:rFonts w:ascii="Arial" w:hAnsi="Arial" w:cs="Arial"/>
          <w:sz w:val="22"/>
          <w:szCs w:val="22"/>
          <w:lang w:val="en-US"/>
        </w:rPr>
        <w:t xml:space="preserve">Institute of Immunology, Transplantation Immunology, </w:t>
      </w:r>
      <w:r w:rsidR="0002532F" w:rsidRPr="00566E12">
        <w:rPr>
          <w:rFonts w:ascii="Arial" w:hAnsi="Arial" w:cs="Arial"/>
          <w:sz w:val="22"/>
          <w:szCs w:val="22"/>
          <w:lang w:val="en-US"/>
        </w:rPr>
        <w:t xml:space="preserve">University </w:t>
      </w:r>
      <w:r w:rsidR="003300F2">
        <w:rPr>
          <w:rFonts w:ascii="Arial" w:hAnsi="Arial" w:cs="Arial"/>
          <w:sz w:val="22"/>
          <w:szCs w:val="22"/>
          <w:lang w:val="en-US"/>
        </w:rPr>
        <w:t xml:space="preserve">of </w:t>
      </w:r>
      <w:r w:rsidR="0002532F" w:rsidRPr="00566E12">
        <w:rPr>
          <w:rFonts w:ascii="Arial" w:hAnsi="Arial" w:cs="Arial"/>
          <w:sz w:val="22"/>
          <w:szCs w:val="22"/>
          <w:lang w:val="en-US"/>
        </w:rPr>
        <w:t>Heidelberg</w:t>
      </w:r>
    </w:p>
    <w:p w14:paraId="0A843927" w14:textId="77777777" w:rsidR="0002532F" w:rsidRPr="00566E12" w:rsidRDefault="00C11C23" w:rsidP="0002532F">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1988</w:t>
      </w:r>
      <w:r w:rsidRPr="00C11C23">
        <w:rPr>
          <w:rFonts w:ascii="Arial" w:hAnsi="Arial" w:cs="Arial"/>
          <w:sz w:val="22"/>
          <w:szCs w:val="22"/>
          <w:lang w:val="en-US"/>
        </w:rPr>
        <w:t>–</w:t>
      </w:r>
      <w:r>
        <w:rPr>
          <w:rFonts w:ascii="Arial" w:hAnsi="Arial" w:cs="Arial"/>
          <w:sz w:val="22"/>
          <w:szCs w:val="22"/>
          <w:lang w:val="en-US"/>
        </w:rPr>
        <w:t>1999</w:t>
      </w:r>
      <w:r>
        <w:rPr>
          <w:rFonts w:ascii="Arial" w:hAnsi="Arial" w:cs="Arial"/>
          <w:sz w:val="22"/>
          <w:szCs w:val="22"/>
          <w:lang w:val="en-US"/>
        </w:rPr>
        <w:tab/>
      </w:r>
      <w:r>
        <w:rPr>
          <w:rFonts w:ascii="Arial" w:hAnsi="Arial" w:cs="Arial"/>
          <w:sz w:val="22"/>
          <w:szCs w:val="22"/>
          <w:lang w:val="en-US"/>
        </w:rPr>
        <w:tab/>
      </w:r>
      <w:r w:rsidR="0002532F" w:rsidRPr="00566E12">
        <w:rPr>
          <w:rFonts w:ascii="Arial" w:hAnsi="Arial" w:cs="Arial"/>
          <w:sz w:val="22"/>
          <w:szCs w:val="22"/>
          <w:lang w:val="en-US"/>
        </w:rPr>
        <w:t xml:space="preserve">Post-Doc </w:t>
      </w:r>
      <w:r w:rsidR="006B4B14">
        <w:rPr>
          <w:rFonts w:ascii="Arial" w:hAnsi="Arial" w:cs="Arial"/>
          <w:sz w:val="22"/>
          <w:szCs w:val="22"/>
          <w:lang w:val="en-US"/>
        </w:rPr>
        <w:t>in the Institute of</w:t>
      </w:r>
      <w:r w:rsidR="0002532F" w:rsidRPr="00566E12">
        <w:rPr>
          <w:rFonts w:ascii="Arial" w:hAnsi="Arial" w:cs="Arial"/>
          <w:sz w:val="22"/>
          <w:szCs w:val="22"/>
          <w:lang w:val="en-US"/>
        </w:rPr>
        <w:t xml:space="preserve"> Immunology, </w:t>
      </w:r>
      <w:r w:rsidR="006B4B14">
        <w:rPr>
          <w:rFonts w:ascii="Arial" w:hAnsi="Arial" w:cs="Arial"/>
          <w:sz w:val="22"/>
          <w:szCs w:val="22"/>
          <w:lang w:val="en-US"/>
        </w:rPr>
        <w:t xml:space="preserve">Transplantation Immunology, </w:t>
      </w:r>
      <w:r w:rsidR="0002532F" w:rsidRPr="00566E12">
        <w:rPr>
          <w:rFonts w:ascii="Arial" w:hAnsi="Arial" w:cs="Arial"/>
          <w:sz w:val="22"/>
          <w:szCs w:val="22"/>
          <w:lang w:val="en-US"/>
        </w:rPr>
        <w:t xml:space="preserve">University </w:t>
      </w:r>
      <w:r w:rsidR="003300F2">
        <w:rPr>
          <w:rFonts w:ascii="Arial" w:hAnsi="Arial" w:cs="Arial"/>
          <w:sz w:val="22"/>
          <w:szCs w:val="22"/>
          <w:lang w:val="en-US"/>
        </w:rPr>
        <w:t>of</w:t>
      </w:r>
      <w:r w:rsidR="006B4B14">
        <w:rPr>
          <w:rFonts w:ascii="Arial" w:hAnsi="Arial" w:cs="Arial"/>
          <w:sz w:val="22"/>
          <w:szCs w:val="22"/>
          <w:lang w:val="en-US"/>
        </w:rPr>
        <w:t xml:space="preserve"> </w:t>
      </w:r>
      <w:r w:rsidR="0002532F" w:rsidRPr="00566E12">
        <w:rPr>
          <w:rFonts w:ascii="Arial" w:hAnsi="Arial" w:cs="Arial"/>
          <w:sz w:val="22"/>
          <w:szCs w:val="22"/>
          <w:lang w:val="en-US"/>
        </w:rPr>
        <w:t>Heidelberg</w:t>
      </w:r>
    </w:p>
    <w:p w14:paraId="0D915507" w14:textId="77777777" w:rsidR="00C00455" w:rsidRPr="00566E12" w:rsidRDefault="004C4FFB" w:rsidP="000C0313">
      <w:pPr>
        <w:tabs>
          <w:tab w:val="left" w:pos="1701"/>
          <w:tab w:val="left" w:pos="3119"/>
        </w:tabs>
        <w:spacing w:before="240" w:line="320" w:lineRule="exact"/>
        <w:ind w:left="1701" w:hanging="1701"/>
        <w:rPr>
          <w:rFonts w:ascii="Arial" w:hAnsi="Arial" w:cs="Arial"/>
          <w:b/>
          <w:sz w:val="22"/>
          <w:szCs w:val="22"/>
          <w:lang w:val="en-US"/>
        </w:rPr>
      </w:pPr>
      <w:r w:rsidRPr="00566E12">
        <w:rPr>
          <w:rFonts w:ascii="Arial" w:hAnsi="Arial" w:cs="Arial"/>
          <w:b/>
          <w:sz w:val="22"/>
          <w:szCs w:val="22"/>
          <w:lang w:val="en-US"/>
        </w:rPr>
        <w:t>Academic Titles</w:t>
      </w:r>
    </w:p>
    <w:p w14:paraId="1B77A870" w14:textId="77777777" w:rsidR="00A83D1E" w:rsidRPr="00566E12" w:rsidRDefault="00A83D1E" w:rsidP="00303D62">
      <w:pPr>
        <w:tabs>
          <w:tab w:val="left" w:pos="1418"/>
          <w:tab w:val="left" w:pos="3119"/>
        </w:tabs>
        <w:spacing w:before="120" w:line="320" w:lineRule="exact"/>
        <w:ind w:left="1701" w:hanging="1701"/>
        <w:rPr>
          <w:rFonts w:ascii="Arial" w:hAnsi="Arial" w:cs="Arial"/>
          <w:sz w:val="22"/>
          <w:szCs w:val="22"/>
          <w:lang w:val="en-US"/>
        </w:rPr>
      </w:pPr>
      <w:r w:rsidRPr="00566E12">
        <w:rPr>
          <w:rFonts w:ascii="Arial" w:hAnsi="Arial" w:cs="Arial"/>
          <w:sz w:val="22"/>
          <w:szCs w:val="22"/>
          <w:lang w:val="en-US"/>
        </w:rPr>
        <w:t>198</w:t>
      </w:r>
      <w:r w:rsidR="009C51B7" w:rsidRPr="00566E12">
        <w:rPr>
          <w:rFonts w:ascii="Arial" w:hAnsi="Arial" w:cs="Arial"/>
          <w:sz w:val="22"/>
          <w:szCs w:val="22"/>
          <w:lang w:val="en-US"/>
        </w:rPr>
        <w:t>6</w:t>
      </w:r>
      <w:r w:rsidR="00FE3090">
        <w:rPr>
          <w:rFonts w:ascii="Arial" w:hAnsi="Arial" w:cs="Arial"/>
          <w:sz w:val="22"/>
          <w:szCs w:val="22"/>
          <w:lang w:val="en-US"/>
        </w:rPr>
        <w:tab/>
      </w:r>
      <w:r w:rsidR="00FE3090">
        <w:rPr>
          <w:rFonts w:ascii="Arial" w:hAnsi="Arial" w:cs="Arial"/>
          <w:sz w:val="22"/>
          <w:szCs w:val="22"/>
          <w:lang w:val="en-US"/>
        </w:rPr>
        <w:tab/>
      </w:r>
      <w:r w:rsidRPr="00566E12">
        <w:rPr>
          <w:rFonts w:ascii="Arial" w:hAnsi="Arial" w:cs="Arial"/>
          <w:sz w:val="22"/>
          <w:szCs w:val="22"/>
          <w:lang w:val="en-US"/>
        </w:rPr>
        <w:t>Physician; Faculty of Medicine, University of Heidelberg</w:t>
      </w:r>
    </w:p>
    <w:p w14:paraId="5885A1AF" w14:textId="77777777" w:rsidR="00C00455" w:rsidRPr="00566E12" w:rsidRDefault="00FE3090" w:rsidP="00303D62">
      <w:pPr>
        <w:tabs>
          <w:tab w:val="left" w:pos="1418"/>
          <w:tab w:val="left" w:pos="3119"/>
        </w:tabs>
        <w:spacing w:before="120" w:line="320" w:lineRule="exact"/>
        <w:ind w:left="1701" w:hanging="1701"/>
        <w:rPr>
          <w:rFonts w:ascii="Arial" w:hAnsi="Arial" w:cs="Arial"/>
          <w:sz w:val="22"/>
          <w:szCs w:val="22"/>
          <w:lang w:val="en-US"/>
        </w:rPr>
      </w:pPr>
      <w:r>
        <w:rPr>
          <w:rFonts w:ascii="Arial" w:hAnsi="Arial" w:cs="Arial"/>
          <w:sz w:val="22"/>
          <w:szCs w:val="22"/>
          <w:lang w:val="en-US"/>
        </w:rPr>
        <w:t>1988</w:t>
      </w:r>
      <w:r>
        <w:rPr>
          <w:rFonts w:ascii="Arial" w:hAnsi="Arial" w:cs="Arial"/>
          <w:sz w:val="22"/>
          <w:szCs w:val="22"/>
          <w:lang w:val="en-US"/>
        </w:rPr>
        <w:tab/>
      </w:r>
      <w:r>
        <w:rPr>
          <w:rFonts w:ascii="Arial" w:hAnsi="Arial" w:cs="Arial"/>
          <w:sz w:val="22"/>
          <w:szCs w:val="22"/>
          <w:lang w:val="en-US"/>
        </w:rPr>
        <w:tab/>
      </w:r>
      <w:r w:rsidR="00A83D1E" w:rsidRPr="00566E12">
        <w:rPr>
          <w:rFonts w:ascii="Arial" w:hAnsi="Arial" w:cs="Arial"/>
          <w:sz w:val="22"/>
          <w:szCs w:val="22"/>
          <w:lang w:val="en-US"/>
        </w:rPr>
        <w:t>M.D.</w:t>
      </w:r>
      <w:r w:rsidR="009D4587">
        <w:rPr>
          <w:rFonts w:ascii="Arial" w:hAnsi="Arial" w:cs="Arial"/>
          <w:sz w:val="22"/>
          <w:szCs w:val="22"/>
          <w:lang w:val="en-US"/>
        </w:rPr>
        <w:t>;</w:t>
      </w:r>
      <w:r w:rsidR="00A83D1E" w:rsidRPr="00566E12">
        <w:rPr>
          <w:rFonts w:ascii="Arial" w:hAnsi="Arial" w:cs="Arial"/>
          <w:sz w:val="22"/>
          <w:szCs w:val="22"/>
          <w:lang w:val="en-US"/>
        </w:rPr>
        <w:t xml:space="preserve"> Faculty of Medicine, University of Heidelberg </w:t>
      </w:r>
    </w:p>
    <w:p w14:paraId="19989DFA" w14:textId="77777777" w:rsidR="00A83D1E" w:rsidRPr="00566E12" w:rsidRDefault="00FE3090" w:rsidP="00303D62">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1999</w:t>
      </w:r>
      <w:r>
        <w:rPr>
          <w:rFonts w:ascii="Arial" w:hAnsi="Arial" w:cs="Arial"/>
          <w:sz w:val="22"/>
          <w:szCs w:val="22"/>
          <w:lang w:val="en-US"/>
        </w:rPr>
        <w:tab/>
      </w:r>
      <w:r>
        <w:rPr>
          <w:rFonts w:ascii="Arial" w:hAnsi="Arial" w:cs="Arial"/>
          <w:sz w:val="22"/>
          <w:szCs w:val="22"/>
          <w:lang w:val="en-US"/>
        </w:rPr>
        <w:tab/>
      </w:r>
      <w:r w:rsidR="00A83D1E" w:rsidRPr="00566E12">
        <w:rPr>
          <w:rFonts w:ascii="Arial" w:hAnsi="Arial" w:cs="Arial"/>
          <w:sz w:val="22"/>
          <w:szCs w:val="22"/>
          <w:lang w:val="en-US"/>
        </w:rPr>
        <w:t xml:space="preserve">Habilitation, Venia legendi for Immunology, Associate Professor of Immunology; Faculty of Medicine, University of Heidelberg </w:t>
      </w:r>
    </w:p>
    <w:p w14:paraId="0EF14CC6" w14:textId="77777777" w:rsidR="00A83D1E" w:rsidRDefault="00FE3090" w:rsidP="00303D62">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2005</w:t>
      </w:r>
      <w:r>
        <w:rPr>
          <w:rFonts w:ascii="Arial" w:hAnsi="Arial" w:cs="Arial"/>
          <w:sz w:val="22"/>
          <w:szCs w:val="22"/>
          <w:lang w:val="en-US"/>
        </w:rPr>
        <w:tab/>
      </w:r>
      <w:r>
        <w:rPr>
          <w:rFonts w:ascii="Arial" w:hAnsi="Arial" w:cs="Arial"/>
          <w:sz w:val="22"/>
          <w:szCs w:val="22"/>
          <w:lang w:val="en-US"/>
        </w:rPr>
        <w:tab/>
      </w:r>
      <w:r w:rsidR="006F467B" w:rsidRPr="00566E12">
        <w:rPr>
          <w:rFonts w:ascii="Arial" w:hAnsi="Arial" w:cs="Arial"/>
          <w:sz w:val="22"/>
          <w:szCs w:val="22"/>
          <w:lang w:val="en-US"/>
        </w:rPr>
        <w:t>Professor of Immunology</w:t>
      </w:r>
      <w:r w:rsidR="0002532F" w:rsidRPr="00566E12">
        <w:rPr>
          <w:rFonts w:ascii="Arial" w:hAnsi="Arial" w:cs="Arial"/>
          <w:sz w:val="22"/>
          <w:szCs w:val="22"/>
          <w:lang w:val="en-US"/>
        </w:rPr>
        <w:t>;</w:t>
      </w:r>
      <w:r w:rsidR="006F467B" w:rsidRPr="00566E12">
        <w:rPr>
          <w:rFonts w:ascii="Arial" w:hAnsi="Arial" w:cs="Arial"/>
          <w:sz w:val="22"/>
          <w:szCs w:val="22"/>
          <w:lang w:val="en-US"/>
        </w:rPr>
        <w:t xml:space="preserve"> University of Heidelberg</w:t>
      </w:r>
    </w:p>
    <w:p w14:paraId="5A1B104F" w14:textId="77777777" w:rsidR="000B43F3" w:rsidRPr="00566E12" w:rsidRDefault="000B43F3" w:rsidP="00303D62">
      <w:pPr>
        <w:tabs>
          <w:tab w:val="left" w:pos="1418"/>
        </w:tabs>
        <w:spacing w:before="120" w:line="320" w:lineRule="exact"/>
        <w:ind w:left="1701" w:hanging="1701"/>
        <w:rPr>
          <w:rFonts w:ascii="Arial" w:hAnsi="Arial" w:cs="Arial"/>
          <w:sz w:val="22"/>
          <w:szCs w:val="22"/>
          <w:lang w:val="en-US"/>
        </w:rPr>
      </w:pPr>
      <w:r>
        <w:rPr>
          <w:rFonts w:ascii="Arial" w:hAnsi="Arial" w:cs="Arial"/>
          <w:sz w:val="22"/>
          <w:szCs w:val="22"/>
          <w:lang w:val="en-US"/>
        </w:rPr>
        <w:t>2021</w:t>
      </w:r>
      <w:r>
        <w:rPr>
          <w:rFonts w:ascii="Arial" w:hAnsi="Arial" w:cs="Arial"/>
          <w:sz w:val="22"/>
          <w:szCs w:val="22"/>
          <w:lang w:val="en-US"/>
        </w:rPr>
        <w:tab/>
      </w:r>
      <w:r>
        <w:rPr>
          <w:rFonts w:ascii="Arial" w:hAnsi="Arial" w:cs="Arial"/>
          <w:sz w:val="22"/>
          <w:szCs w:val="22"/>
          <w:lang w:val="en-US"/>
        </w:rPr>
        <w:tab/>
      </w:r>
      <w:r w:rsidR="00106D90">
        <w:rPr>
          <w:rFonts w:ascii="Arial" w:hAnsi="Arial" w:cs="Arial"/>
          <w:sz w:val="22"/>
          <w:szCs w:val="22"/>
          <w:lang w:val="en-US"/>
        </w:rPr>
        <w:t>Visiting Professor of Immunology</w:t>
      </w:r>
      <w:r>
        <w:rPr>
          <w:rFonts w:ascii="Arial" w:hAnsi="Arial" w:cs="Arial"/>
          <w:sz w:val="22"/>
          <w:szCs w:val="22"/>
          <w:lang w:val="en-US"/>
        </w:rPr>
        <w:t>; Koç University</w:t>
      </w:r>
    </w:p>
    <w:p w14:paraId="5B4D925F" w14:textId="77777777" w:rsidR="00D60195" w:rsidRPr="00566E12" w:rsidRDefault="00D60195" w:rsidP="000C0313">
      <w:pPr>
        <w:tabs>
          <w:tab w:val="left" w:pos="0"/>
        </w:tabs>
        <w:spacing w:before="240" w:line="320" w:lineRule="exact"/>
        <w:rPr>
          <w:rFonts w:ascii="Arial" w:hAnsi="Arial" w:cs="Arial"/>
          <w:b/>
          <w:sz w:val="22"/>
          <w:szCs w:val="22"/>
          <w:lang w:val="en-US"/>
        </w:rPr>
      </w:pPr>
      <w:r w:rsidRPr="00566E12">
        <w:rPr>
          <w:rFonts w:ascii="Arial" w:hAnsi="Arial" w:cs="Arial"/>
          <w:b/>
          <w:sz w:val="22"/>
          <w:szCs w:val="22"/>
          <w:lang w:val="en-US"/>
        </w:rPr>
        <w:t>Further Qualifications</w:t>
      </w:r>
    </w:p>
    <w:p w14:paraId="49F52106" w14:textId="77777777" w:rsidR="00D60195" w:rsidRPr="00566E12" w:rsidRDefault="00D60195" w:rsidP="00303D62">
      <w:pPr>
        <w:numPr>
          <w:ilvl w:val="0"/>
          <w:numId w:val="28"/>
        </w:numPr>
        <w:tabs>
          <w:tab w:val="left" w:pos="0"/>
          <w:tab w:val="num" w:pos="284"/>
          <w:tab w:val="left" w:pos="4820"/>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rPr>
        <w:t xml:space="preserve">Specialist for </w:t>
      </w:r>
      <w:r w:rsidR="00F3708D" w:rsidRPr="00566E12">
        <w:rPr>
          <w:rFonts w:ascii="Arial" w:hAnsi="Arial" w:cs="Arial"/>
          <w:sz w:val="22"/>
          <w:szCs w:val="22"/>
          <w:lang w:val="en-US"/>
        </w:rPr>
        <w:t>I</w:t>
      </w:r>
      <w:r w:rsidRPr="00566E12">
        <w:rPr>
          <w:rFonts w:ascii="Arial" w:hAnsi="Arial" w:cs="Arial"/>
          <w:sz w:val="22"/>
          <w:szCs w:val="22"/>
          <w:lang w:val="en-US"/>
        </w:rPr>
        <w:t>mmunogenetics (DGI Certificate)</w:t>
      </w:r>
    </w:p>
    <w:p w14:paraId="5C00CD34" w14:textId="77777777" w:rsidR="00D60195" w:rsidRPr="00566E12" w:rsidRDefault="00D60195" w:rsidP="00383DAC">
      <w:pPr>
        <w:numPr>
          <w:ilvl w:val="0"/>
          <w:numId w:val="28"/>
        </w:numPr>
        <w:tabs>
          <w:tab w:val="left" w:pos="0"/>
          <w:tab w:val="num" w:pos="284"/>
          <w:tab w:val="left" w:pos="1701"/>
          <w:tab w:val="left" w:pos="3544"/>
          <w:tab w:val="left" w:pos="4820"/>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rPr>
        <w:t xml:space="preserve">Education </w:t>
      </w:r>
      <w:r w:rsidR="003300F2">
        <w:rPr>
          <w:rFonts w:ascii="Arial" w:hAnsi="Arial" w:cs="Arial"/>
          <w:sz w:val="22"/>
          <w:szCs w:val="22"/>
          <w:lang w:val="en-US"/>
        </w:rPr>
        <w:t>C</w:t>
      </w:r>
      <w:r w:rsidRPr="00566E12">
        <w:rPr>
          <w:rFonts w:ascii="Arial" w:hAnsi="Arial" w:cs="Arial"/>
          <w:sz w:val="22"/>
          <w:szCs w:val="22"/>
          <w:lang w:val="en-US"/>
        </w:rPr>
        <w:t xml:space="preserve">ertificate </w:t>
      </w:r>
      <w:r w:rsidR="003300F2">
        <w:rPr>
          <w:rFonts w:ascii="Arial" w:hAnsi="Arial" w:cs="Arial"/>
          <w:sz w:val="22"/>
          <w:szCs w:val="22"/>
          <w:lang w:val="en-US"/>
        </w:rPr>
        <w:t xml:space="preserve">of DGI </w:t>
      </w:r>
      <w:r w:rsidRPr="00566E12">
        <w:rPr>
          <w:rFonts w:ascii="Arial" w:hAnsi="Arial" w:cs="Arial"/>
          <w:sz w:val="22"/>
          <w:szCs w:val="22"/>
          <w:lang w:val="en-US"/>
        </w:rPr>
        <w:t xml:space="preserve">for </w:t>
      </w:r>
      <w:r w:rsidR="00F3708D" w:rsidRPr="00566E12">
        <w:rPr>
          <w:rFonts w:ascii="Arial" w:hAnsi="Arial" w:cs="Arial"/>
          <w:sz w:val="22"/>
          <w:szCs w:val="22"/>
          <w:lang w:val="en-US"/>
        </w:rPr>
        <w:t>I</w:t>
      </w:r>
      <w:r w:rsidR="003300F2">
        <w:rPr>
          <w:rFonts w:ascii="Arial" w:hAnsi="Arial" w:cs="Arial"/>
          <w:sz w:val="22"/>
          <w:szCs w:val="22"/>
          <w:lang w:val="en-US"/>
        </w:rPr>
        <w:t>mmunogenetics</w:t>
      </w:r>
    </w:p>
    <w:p w14:paraId="25CD1E8E" w14:textId="77777777" w:rsidR="00D60195" w:rsidRPr="00566E12" w:rsidRDefault="00D60195" w:rsidP="00F3708D">
      <w:pPr>
        <w:numPr>
          <w:ilvl w:val="0"/>
          <w:numId w:val="28"/>
        </w:numPr>
        <w:tabs>
          <w:tab w:val="clear" w:pos="2007"/>
          <w:tab w:val="left" w:pos="0"/>
          <w:tab w:val="num" w:pos="284"/>
          <w:tab w:val="left" w:pos="567"/>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eastAsia="en-US"/>
        </w:rPr>
        <w:t>European Specialization in H</w:t>
      </w:r>
      <w:r w:rsidR="00303D62" w:rsidRPr="00566E12">
        <w:rPr>
          <w:rFonts w:ascii="Arial" w:hAnsi="Arial" w:cs="Arial"/>
          <w:sz w:val="22"/>
          <w:szCs w:val="22"/>
          <w:lang w:val="en-US" w:eastAsia="en-US"/>
        </w:rPr>
        <w:t>istocompatibility</w:t>
      </w:r>
      <w:r w:rsidRPr="00566E12">
        <w:rPr>
          <w:rFonts w:ascii="Arial" w:hAnsi="Arial" w:cs="Arial"/>
          <w:sz w:val="22"/>
          <w:szCs w:val="22"/>
          <w:lang w:val="en-US" w:eastAsia="en-US"/>
        </w:rPr>
        <w:t>&amp;I</w:t>
      </w:r>
      <w:r w:rsidR="00303D62" w:rsidRPr="00566E12">
        <w:rPr>
          <w:rFonts w:ascii="Arial" w:hAnsi="Arial" w:cs="Arial"/>
          <w:sz w:val="22"/>
          <w:szCs w:val="22"/>
          <w:lang w:val="en-US" w:eastAsia="en-US"/>
        </w:rPr>
        <w:t>mmunoge</w:t>
      </w:r>
      <w:r w:rsidR="00F3708D" w:rsidRPr="00566E12">
        <w:rPr>
          <w:rFonts w:ascii="Arial" w:hAnsi="Arial" w:cs="Arial"/>
          <w:sz w:val="22"/>
          <w:szCs w:val="22"/>
          <w:lang w:val="en-US" w:eastAsia="en-US"/>
        </w:rPr>
        <w:t>ne</w:t>
      </w:r>
      <w:r w:rsidR="00303D62" w:rsidRPr="00566E12">
        <w:rPr>
          <w:rFonts w:ascii="Arial" w:hAnsi="Arial" w:cs="Arial"/>
          <w:sz w:val="22"/>
          <w:szCs w:val="22"/>
          <w:lang w:val="en-US" w:eastAsia="en-US"/>
        </w:rPr>
        <w:t>tics</w:t>
      </w:r>
      <w:r w:rsidR="00FE3090">
        <w:rPr>
          <w:rFonts w:ascii="Arial" w:hAnsi="Arial" w:cs="Arial"/>
          <w:sz w:val="22"/>
          <w:szCs w:val="22"/>
          <w:lang w:val="en-US" w:eastAsia="en-US"/>
        </w:rPr>
        <w:t xml:space="preserve"> </w:t>
      </w:r>
      <w:r w:rsidRPr="00566E12">
        <w:rPr>
          <w:rFonts w:ascii="Arial" w:hAnsi="Arial" w:cs="Arial"/>
          <w:sz w:val="22"/>
          <w:szCs w:val="22"/>
          <w:lang w:val="en-US"/>
        </w:rPr>
        <w:t>(</w:t>
      </w:r>
      <w:r w:rsidRPr="00566E12">
        <w:rPr>
          <w:rFonts w:ascii="Arial" w:hAnsi="Arial" w:cs="Arial"/>
          <w:sz w:val="22"/>
          <w:szCs w:val="22"/>
          <w:lang w:val="en-US" w:eastAsia="en-US"/>
        </w:rPr>
        <w:t>ESHI Diploma)</w:t>
      </w:r>
    </w:p>
    <w:p w14:paraId="4919FF2F" w14:textId="77777777" w:rsidR="00616F9A" w:rsidRDefault="00616F9A" w:rsidP="000C0313">
      <w:pPr>
        <w:tabs>
          <w:tab w:val="left" w:pos="-1099"/>
          <w:tab w:val="left" w:pos="-720"/>
          <w:tab w:val="left" w:pos="0"/>
          <w:tab w:val="left" w:pos="720"/>
          <w:tab w:val="left" w:pos="1440"/>
          <w:tab w:val="left" w:pos="162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line="320" w:lineRule="exact"/>
        <w:rPr>
          <w:rFonts w:ascii="Arial" w:hAnsi="Arial" w:cs="Arial"/>
          <w:b/>
          <w:iCs/>
          <w:sz w:val="22"/>
          <w:szCs w:val="22"/>
          <w:lang w:val="en-US"/>
        </w:rPr>
      </w:pPr>
      <w:r>
        <w:rPr>
          <w:rFonts w:ascii="Arial" w:hAnsi="Arial" w:cs="Arial"/>
          <w:b/>
          <w:iCs/>
          <w:sz w:val="22"/>
          <w:szCs w:val="22"/>
          <w:lang w:val="en-US"/>
        </w:rPr>
        <w:t>Current Position</w:t>
      </w:r>
    </w:p>
    <w:p w14:paraId="055F8080" w14:textId="77777777" w:rsidR="00616F9A" w:rsidRDefault="00616F9A" w:rsidP="00616F9A">
      <w:pPr>
        <w:tabs>
          <w:tab w:val="left" w:pos="-1099"/>
          <w:tab w:val="left" w:pos="-720"/>
          <w:tab w:val="left" w:pos="0"/>
          <w:tab w:val="left" w:pos="720"/>
          <w:tab w:val="left" w:pos="1440"/>
          <w:tab w:val="left" w:pos="162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rPr>
          <w:rFonts w:ascii="Arial" w:hAnsi="Arial" w:cs="Arial"/>
          <w:b/>
          <w:iCs/>
          <w:sz w:val="22"/>
          <w:szCs w:val="22"/>
          <w:lang w:val="en-US"/>
        </w:rPr>
      </w:pPr>
      <w:r>
        <w:rPr>
          <w:rFonts w:ascii="Arial" w:hAnsi="Arial" w:cs="Arial"/>
          <w:sz w:val="22"/>
          <w:szCs w:val="22"/>
          <w:lang w:val="en-US"/>
        </w:rPr>
        <w:t>Director of Transplant Immunology Research Center of Excellence TIREX,</w:t>
      </w:r>
      <w:r w:rsidRPr="00616F9A">
        <w:rPr>
          <w:rFonts w:ascii="Arial" w:hAnsi="Arial" w:cs="Arial"/>
          <w:sz w:val="22"/>
          <w:szCs w:val="22"/>
          <w:lang w:val="en-US"/>
        </w:rPr>
        <w:t xml:space="preserve"> Koç University</w:t>
      </w:r>
    </w:p>
    <w:p w14:paraId="3BD15A7C" w14:textId="77777777" w:rsidR="00CD03C7" w:rsidRPr="00566E12" w:rsidRDefault="00CD03C7" w:rsidP="000C0313">
      <w:pPr>
        <w:tabs>
          <w:tab w:val="left" w:pos="-1099"/>
          <w:tab w:val="left" w:pos="-720"/>
          <w:tab w:val="left" w:pos="0"/>
          <w:tab w:val="left" w:pos="720"/>
          <w:tab w:val="left" w:pos="1440"/>
          <w:tab w:val="left" w:pos="162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line="320" w:lineRule="exact"/>
        <w:rPr>
          <w:rFonts w:ascii="Arial" w:hAnsi="Arial" w:cs="Arial"/>
          <w:b/>
          <w:sz w:val="22"/>
          <w:szCs w:val="22"/>
          <w:lang w:val="en-US"/>
        </w:rPr>
      </w:pPr>
      <w:r w:rsidRPr="00566E12">
        <w:rPr>
          <w:rFonts w:ascii="Arial" w:hAnsi="Arial" w:cs="Arial"/>
          <w:b/>
          <w:iCs/>
          <w:sz w:val="22"/>
          <w:szCs w:val="22"/>
          <w:lang w:val="en-US"/>
        </w:rPr>
        <w:t>Previous Positions</w:t>
      </w:r>
      <w:r w:rsidR="000B43F3">
        <w:rPr>
          <w:rFonts w:ascii="Arial" w:hAnsi="Arial" w:cs="Arial"/>
          <w:b/>
          <w:iCs/>
          <w:sz w:val="22"/>
          <w:szCs w:val="22"/>
          <w:lang w:val="en-US"/>
        </w:rPr>
        <w:t xml:space="preserve"> and Functions</w:t>
      </w:r>
    </w:p>
    <w:p w14:paraId="6989126C" w14:textId="77777777" w:rsidR="000B43F3" w:rsidRPr="00566E12" w:rsidRDefault="000B43F3" w:rsidP="000B43F3">
      <w:pPr>
        <w:tabs>
          <w:tab w:val="left" w:pos="0"/>
          <w:tab w:val="left" w:pos="1418"/>
          <w:tab w:val="left" w:pos="2160"/>
          <w:tab w:val="left" w:pos="3119"/>
          <w:tab w:val="left" w:pos="3402"/>
        </w:tabs>
        <w:spacing w:before="120" w:line="320" w:lineRule="exact"/>
        <w:rPr>
          <w:rFonts w:ascii="Arial" w:hAnsi="Arial" w:cs="Arial"/>
          <w:b/>
          <w:iCs/>
          <w:sz w:val="22"/>
          <w:szCs w:val="22"/>
          <w:lang w:val="en-US"/>
        </w:rPr>
      </w:pPr>
      <w:r w:rsidRPr="00566E12">
        <w:rPr>
          <w:rFonts w:ascii="Arial" w:hAnsi="Arial" w:cs="Arial"/>
          <w:sz w:val="22"/>
          <w:szCs w:val="22"/>
          <w:lang w:val="en-US"/>
        </w:rPr>
        <w:t xml:space="preserve">Academic Director, </w:t>
      </w:r>
      <w:r>
        <w:rPr>
          <w:rFonts w:ascii="Arial" w:hAnsi="Arial" w:cs="Arial"/>
          <w:sz w:val="22"/>
          <w:szCs w:val="22"/>
          <w:lang w:val="en-US"/>
        </w:rPr>
        <w:t>Head</w:t>
      </w:r>
      <w:r w:rsidRPr="00566E12">
        <w:rPr>
          <w:rFonts w:ascii="Arial" w:hAnsi="Arial" w:cs="Arial"/>
          <w:sz w:val="22"/>
          <w:szCs w:val="22"/>
          <w:lang w:val="en-US"/>
        </w:rPr>
        <w:t xml:space="preserve"> of </w:t>
      </w:r>
      <w:r>
        <w:rPr>
          <w:rFonts w:ascii="Arial" w:hAnsi="Arial" w:cs="Arial"/>
          <w:sz w:val="22"/>
          <w:szCs w:val="22"/>
          <w:lang w:val="en-US"/>
        </w:rPr>
        <w:t xml:space="preserve">Collaborative Transplant Study, </w:t>
      </w:r>
      <w:r w:rsidRPr="00566E12">
        <w:rPr>
          <w:rFonts w:ascii="Arial" w:hAnsi="Arial" w:cs="Arial"/>
          <w:sz w:val="22"/>
          <w:szCs w:val="22"/>
          <w:lang w:val="en-US"/>
        </w:rPr>
        <w:t>EFI-accredited HLA Antibody Laboratory</w:t>
      </w:r>
      <w:r>
        <w:rPr>
          <w:rFonts w:ascii="Arial" w:hAnsi="Arial" w:cs="Arial"/>
          <w:sz w:val="22"/>
          <w:szCs w:val="22"/>
          <w:lang w:val="en-US"/>
        </w:rPr>
        <w:t xml:space="preserve"> and the Research Lab </w:t>
      </w:r>
      <w:r w:rsidRPr="006B4B14">
        <w:rPr>
          <w:rFonts w:ascii="Arial" w:hAnsi="Arial" w:cs="Arial"/>
          <w:sz w:val="22"/>
          <w:szCs w:val="22"/>
          <w:lang w:val="en-US"/>
        </w:rPr>
        <w:t>“CTS/Biomarker Research</w:t>
      </w:r>
      <w:r>
        <w:rPr>
          <w:rFonts w:ascii="Arial" w:hAnsi="Arial" w:cs="Arial"/>
          <w:sz w:val="22"/>
          <w:szCs w:val="22"/>
          <w:lang w:val="en-US"/>
        </w:rPr>
        <w:t>”</w:t>
      </w:r>
      <w:r w:rsidRPr="006B4B14">
        <w:rPr>
          <w:rFonts w:ascii="Arial" w:hAnsi="Arial" w:cs="Arial"/>
          <w:sz w:val="22"/>
          <w:szCs w:val="22"/>
          <w:lang w:val="en-US"/>
        </w:rPr>
        <w:t xml:space="preserve"> </w:t>
      </w:r>
      <w:r>
        <w:rPr>
          <w:rFonts w:ascii="Arial" w:hAnsi="Arial" w:cs="Arial"/>
          <w:sz w:val="22"/>
          <w:szCs w:val="22"/>
          <w:lang w:val="en-US"/>
        </w:rPr>
        <w:t>in the Institute</w:t>
      </w:r>
      <w:r w:rsidRPr="00566E12">
        <w:rPr>
          <w:rFonts w:ascii="Arial" w:hAnsi="Arial" w:cs="Arial"/>
          <w:sz w:val="22"/>
          <w:szCs w:val="22"/>
          <w:lang w:val="en-US"/>
        </w:rPr>
        <w:t xml:space="preserve"> </w:t>
      </w:r>
      <w:r>
        <w:rPr>
          <w:rFonts w:ascii="Arial" w:hAnsi="Arial" w:cs="Arial"/>
          <w:sz w:val="22"/>
          <w:szCs w:val="22"/>
          <w:lang w:val="en-US"/>
        </w:rPr>
        <w:t xml:space="preserve">of </w:t>
      </w:r>
      <w:r w:rsidRPr="00566E12">
        <w:rPr>
          <w:rFonts w:ascii="Arial" w:hAnsi="Arial" w:cs="Arial"/>
          <w:sz w:val="22"/>
          <w:szCs w:val="22"/>
          <w:lang w:val="en-US"/>
        </w:rPr>
        <w:t xml:space="preserve">Immunology, University </w:t>
      </w:r>
      <w:r>
        <w:rPr>
          <w:rFonts w:ascii="Arial" w:hAnsi="Arial" w:cs="Arial"/>
          <w:sz w:val="22"/>
          <w:szCs w:val="22"/>
          <w:lang w:val="en-US"/>
        </w:rPr>
        <w:t>Hospital</w:t>
      </w:r>
      <w:r w:rsidRPr="00566E12">
        <w:rPr>
          <w:rFonts w:ascii="Arial" w:hAnsi="Arial" w:cs="Arial"/>
          <w:sz w:val="22"/>
          <w:szCs w:val="22"/>
          <w:lang w:val="en-US"/>
        </w:rPr>
        <w:t xml:space="preserve"> Heidelberg, Germany</w:t>
      </w:r>
    </w:p>
    <w:p w14:paraId="4A94AF19" w14:textId="77777777" w:rsidR="00DA15CA" w:rsidRDefault="00DA15CA" w:rsidP="000C0313">
      <w:pPr>
        <w:tabs>
          <w:tab w:val="left" w:pos="-1099"/>
          <w:tab w:val="left" w:pos="-720"/>
          <w:tab w:val="left" w:pos="0"/>
          <w:tab w:val="left" w:pos="720"/>
          <w:tab w:val="left" w:pos="1440"/>
          <w:tab w:val="left" w:pos="162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line="320" w:lineRule="exact"/>
        <w:rPr>
          <w:rFonts w:ascii="Arial" w:hAnsi="Arial" w:cs="Arial"/>
          <w:b/>
          <w:iCs/>
          <w:sz w:val="22"/>
          <w:szCs w:val="22"/>
          <w:lang w:val="en-US"/>
        </w:rPr>
      </w:pPr>
    </w:p>
    <w:p w14:paraId="450E2135" w14:textId="77777777" w:rsidR="00781CB6" w:rsidRPr="00566E12" w:rsidRDefault="00781CB6" w:rsidP="000C0313">
      <w:pPr>
        <w:tabs>
          <w:tab w:val="left" w:pos="-1099"/>
          <w:tab w:val="left" w:pos="-720"/>
          <w:tab w:val="left" w:pos="0"/>
          <w:tab w:val="left" w:pos="720"/>
          <w:tab w:val="left" w:pos="1440"/>
          <w:tab w:val="left" w:pos="162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line="320" w:lineRule="exact"/>
        <w:rPr>
          <w:rFonts w:ascii="Arial" w:hAnsi="Arial" w:cs="Arial"/>
          <w:b/>
          <w:iCs/>
          <w:sz w:val="22"/>
          <w:szCs w:val="22"/>
          <w:lang w:val="en-US"/>
        </w:rPr>
      </w:pPr>
      <w:r w:rsidRPr="00566E12">
        <w:rPr>
          <w:rFonts w:ascii="Arial" w:hAnsi="Arial" w:cs="Arial"/>
          <w:b/>
          <w:iCs/>
          <w:sz w:val="22"/>
          <w:szCs w:val="22"/>
          <w:lang w:val="en-US"/>
        </w:rPr>
        <w:lastRenderedPageBreak/>
        <w:t xml:space="preserve">Functions in </w:t>
      </w:r>
      <w:r w:rsidR="00F3708D" w:rsidRPr="00566E12">
        <w:rPr>
          <w:rFonts w:ascii="Arial" w:hAnsi="Arial" w:cs="Arial"/>
          <w:b/>
          <w:iCs/>
          <w:sz w:val="22"/>
          <w:szCs w:val="22"/>
          <w:lang w:val="en-US"/>
        </w:rPr>
        <w:t>S</w:t>
      </w:r>
      <w:r w:rsidRPr="00566E12">
        <w:rPr>
          <w:rFonts w:ascii="Arial" w:hAnsi="Arial" w:cs="Arial"/>
          <w:b/>
          <w:iCs/>
          <w:sz w:val="22"/>
          <w:szCs w:val="22"/>
          <w:lang w:val="en-US"/>
        </w:rPr>
        <w:t xml:space="preserve">cientific </w:t>
      </w:r>
      <w:r w:rsidR="00F3708D" w:rsidRPr="00566E12">
        <w:rPr>
          <w:rFonts w:ascii="Arial" w:hAnsi="Arial" w:cs="Arial"/>
          <w:b/>
          <w:iCs/>
          <w:sz w:val="22"/>
          <w:szCs w:val="22"/>
          <w:lang w:val="en-US"/>
        </w:rPr>
        <w:t>S</w:t>
      </w:r>
      <w:r w:rsidRPr="00566E12">
        <w:rPr>
          <w:rFonts w:ascii="Arial" w:hAnsi="Arial" w:cs="Arial"/>
          <w:b/>
          <w:iCs/>
          <w:sz w:val="22"/>
          <w:szCs w:val="22"/>
          <w:lang w:val="en-US"/>
        </w:rPr>
        <w:t>ocieties</w:t>
      </w:r>
      <w:r w:rsidR="00802E98" w:rsidRPr="00566E12">
        <w:rPr>
          <w:rFonts w:ascii="Arial" w:hAnsi="Arial" w:cs="Arial"/>
          <w:b/>
          <w:iCs/>
          <w:sz w:val="22"/>
          <w:szCs w:val="22"/>
          <w:lang w:val="en-US"/>
        </w:rPr>
        <w:t xml:space="preserve"> </w:t>
      </w:r>
      <w:r w:rsidR="00AD6886" w:rsidRPr="00566E12">
        <w:rPr>
          <w:rFonts w:ascii="Arial" w:hAnsi="Arial" w:cs="Arial"/>
          <w:b/>
          <w:iCs/>
          <w:sz w:val="22"/>
          <w:szCs w:val="22"/>
          <w:lang w:val="en-US"/>
        </w:rPr>
        <w:t>/</w:t>
      </w:r>
      <w:r w:rsidR="003C19A6" w:rsidRPr="00566E12">
        <w:rPr>
          <w:rFonts w:ascii="Arial" w:hAnsi="Arial" w:cs="Arial"/>
          <w:b/>
          <w:iCs/>
          <w:sz w:val="22"/>
          <w:szCs w:val="22"/>
          <w:lang w:val="en-US"/>
        </w:rPr>
        <w:t xml:space="preserve"> </w:t>
      </w:r>
      <w:r w:rsidR="00F3708D" w:rsidRPr="00566E12">
        <w:rPr>
          <w:rFonts w:ascii="Arial" w:hAnsi="Arial" w:cs="Arial"/>
          <w:b/>
          <w:iCs/>
          <w:sz w:val="22"/>
          <w:szCs w:val="22"/>
          <w:lang w:val="en-US"/>
        </w:rPr>
        <w:t>J</w:t>
      </w:r>
      <w:r w:rsidR="00AD6886" w:rsidRPr="00566E12">
        <w:rPr>
          <w:rFonts w:ascii="Arial" w:hAnsi="Arial" w:cs="Arial"/>
          <w:b/>
          <w:iCs/>
          <w:sz w:val="22"/>
          <w:szCs w:val="22"/>
          <w:lang w:val="en-US"/>
        </w:rPr>
        <w:t>ournals</w:t>
      </w:r>
    </w:p>
    <w:p w14:paraId="4A1CC0E6" w14:textId="77777777" w:rsidR="00560D8C" w:rsidRPr="00566E12" w:rsidRDefault="00560D8C" w:rsidP="0002532F">
      <w:pPr>
        <w:numPr>
          <w:ilvl w:val="0"/>
          <w:numId w:val="21"/>
        </w:numPr>
        <w:tabs>
          <w:tab w:val="left" w:pos="-1099"/>
          <w:tab w:val="left" w:pos="-720"/>
          <w:tab w:val="left" w:pos="0"/>
          <w:tab w:val="left" w:pos="2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ind w:left="284" w:hanging="284"/>
        <w:rPr>
          <w:rFonts w:ascii="Arial" w:hAnsi="Arial" w:cs="Arial"/>
          <w:sz w:val="22"/>
          <w:szCs w:val="22"/>
          <w:lang w:val="en-US"/>
        </w:rPr>
      </w:pPr>
      <w:r w:rsidRPr="00566E12">
        <w:rPr>
          <w:rFonts w:ascii="Arial" w:hAnsi="Arial" w:cs="Arial"/>
          <w:sz w:val="22"/>
          <w:szCs w:val="22"/>
          <w:lang w:val="en-US"/>
        </w:rPr>
        <w:t>Associate</w:t>
      </w:r>
      <w:r w:rsidR="00C36396">
        <w:rPr>
          <w:rFonts w:ascii="Arial" w:hAnsi="Arial" w:cs="Arial"/>
          <w:sz w:val="22"/>
          <w:szCs w:val="22"/>
          <w:lang w:val="en-US"/>
        </w:rPr>
        <w:t xml:space="preserve"> </w:t>
      </w:r>
      <w:r w:rsidR="006253E9">
        <w:rPr>
          <w:rFonts w:ascii="Arial" w:hAnsi="Arial" w:cs="Arial"/>
          <w:sz w:val="22"/>
          <w:szCs w:val="22"/>
          <w:lang w:val="en-US"/>
        </w:rPr>
        <w:t>E</w:t>
      </w:r>
      <w:r w:rsidRPr="00566E12">
        <w:rPr>
          <w:rFonts w:ascii="Arial" w:hAnsi="Arial" w:cs="Arial"/>
          <w:sz w:val="22"/>
          <w:szCs w:val="22"/>
          <w:lang w:val="en-US"/>
        </w:rPr>
        <w:t xml:space="preserve">ditor of Transplantation </w:t>
      </w:r>
      <w:r w:rsidR="00C36396">
        <w:rPr>
          <w:rFonts w:ascii="Arial" w:hAnsi="Arial" w:cs="Arial"/>
          <w:sz w:val="22"/>
          <w:szCs w:val="22"/>
          <w:lang w:val="en-US"/>
        </w:rPr>
        <w:t xml:space="preserve">journal </w:t>
      </w:r>
      <w:r w:rsidRPr="00566E12">
        <w:rPr>
          <w:rFonts w:ascii="Arial" w:hAnsi="Arial" w:cs="Arial"/>
          <w:sz w:val="22"/>
          <w:szCs w:val="22"/>
          <w:lang w:val="en-US"/>
        </w:rPr>
        <w:t>(</w:t>
      </w:r>
      <w:r w:rsidR="00DB0136">
        <w:rPr>
          <w:rFonts w:ascii="Arial" w:hAnsi="Arial" w:cs="Arial"/>
          <w:sz w:val="22"/>
          <w:szCs w:val="22"/>
          <w:lang w:val="en-US"/>
        </w:rPr>
        <w:t>since</w:t>
      </w:r>
      <w:r w:rsidRPr="00566E12">
        <w:rPr>
          <w:rFonts w:ascii="Arial" w:hAnsi="Arial" w:cs="Arial"/>
          <w:sz w:val="22"/>
          <w:szCs w:val="22"/>
          <w:lang w:val="en-US"/>
        </w:rPr>
        <w:t xml:space="preserve"> July 2014)</w:t>
      </w:r>
    </w:p>
    <w:p w14:paraId="4C211ECE" w14:textId="77777777" w:rsidR="00106D90" w:rsidRPr="00106D90" w:rsidRDefault="006E695A" w:rsidP="00106D90">
      <w:pPr>
        <w:numPr>
          <w:ilvl w:val="0"/>
          <w:numId w:val="21"/>
        </w:numPr>
        <w:tabs>
          <w:tab w:val="left" w:pos="-1099"/>
          <w:tab w:val="left" w:pos="-720"/>
          <w:tab w:val="left" w:pos="0"/>
          <w:tab w:val="left" w:pos="2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ind w:left="284" w:hanging="284"/>
        <w:rPr>
          <w:rFonts w:ascii="Arial" w:hAnsi="Arial" w:cs="Arial"/>
          <w:sz w:val="22"/>
          <w:szCs w:val="22"/>
          <w:lang w:val="en-US"/>
        </w:rPr>
      </w:pPr>
      <w:r>
        <w:rPr>
          <w:rFonts w:ascii="Arial" w:hAnsi="Arial" w:cs="Arial"/>
          <w:sz w:val="22"/>
          <w:szCs w:val="22"/>
          <w:lang w:val="en-US"/>
        </w:rPr>
        <w:t>Guest Editor of Frontiers in Immunology for the Research Topic</w:t>
      </w:r>
      <w:r w:rsidR="000B43F3">
        <w:rPr>
          <w:rFonts w:ascii="Arial" w:hAnsi="Arial" w:cs="Arial"/>
          <w:sz w:val="22"/>
          <w:szCs w:val="22"/>
          <w:lang w:val="en-US"/>
        </w:rPr>
        <w:t>s</w:t>
      </w:r>
      <w:r>
        <w:rPr>
          <w:rFonts w:ascii="Arial" w:hAnsi="Arial" w:cs="Arial"/>
          <w:sz w:val="22"/>
          <w:szCs w:val="22"/>
          <w:lang w:val="en-US"/>
        </w:rPr>
        <w:t xml:space="preserve"> “Transplantation of Marginal Organs” </w:t>
      </w:r>
      <w:r w:rsidR="000B43F3">
        <w:rPr>
          <w:rFonts w:ascii="Arial" w:hAnsi="Arial" w:cs="Arial"/>
          <w:sz w:val="22"/>
          <w:szCs w:val="22"/>
          <w:lang w:val="en-US"/>
        </w:rPr>
        <w:t>and “</w:t>
      </w:r>
      <w:r w:rsidR="00106D90" w:rsidRPr="00106D90">
        <w:rPr>
          <w:rFonts w:ascii="Arial" w:hAnsi="Arial" w:cs="Arial"/>
          <w:sz w:val="22"/>
          <w:szCs w:val="22"/>
          <w:lang w:val="en-US"/>
        </w:rPr>
        <w:t>T-cell and Antibody-mediated rejection after organ transplantation in the post-COVID-19 era – diagnosis, immunological risk evaluation and therapy</w:t>
      </w:r>
      <w:r w:rsidR="00106D90">
        <w:rPr>
          <w:rFonts w:ascii="Arial" w:hAnsi="Arial" w:cs="Arial"/>
          <w:sz w:val="22"/>
          <w:szCs w:val="22"/>
          <w:lang w:val="en-US"/>
        </w:rPr>
        <w:t>”</w:t>
      </w:r>
    </w:p>
    <w:p w14:paraId="2DA7AA37" w14:textId="77777777" w:rsidR="0002532F" w:rsidRPr="00566E12" w:rsidRDefault="0002532F" w:rsidP="0002532F">
      <w:pPr>
        <w:numPr>
          <w:ilvl w:val="0"/>
          <w:numId w:val="21"/>
        </w:numPr>
        <w:tabs>
          <w:tab w:val="left" w:pos="-1099"/>
          <w:tab w:val="left" w:pos="-720"/>
          <w:tab w:val="left" w:pos="0"/>
          <w:tab w:val="left" w:pos="2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ind w:left="284" w:hanging="284"/>
        <w:rPr>
          <w:rFonts w:ascii="Arial" w:hAnsi="Arial" w:cs="Arial"/>
          <w:sz w:val="22"/>
          <w:szCs w:val="22"/>
          <w:lang w:val="en-US"/>
        </w:rPr>
      </w:pPr>
      <w:r w:rsidRPr="00566E12">
        <w:rPr>
          <w:rFonts w:ascii="Arial" w:hAnsi="Arial" w:cs="Arial"/>
          <w:sz w:val="22"/>
          <w:szCs w:val="22"/>
          <w:lang w:val="en-US"/>
        </w:rPr>
        <w:t>Reviewer for all transplantation journals</w:t>
      </w:r>
    </w:p>
    <w:p w14:paraId="1439D09B" w14:textId="77777777" w:rsidR="00C75310" w:rsidRPr="00566E12" w:rsidRDefault="00822D86" w:rsidP="0002532F">
      <w:pPr>
        <w:numPr>
          <w:ilvl w:val="0"/>
          <w:numId w:val="21"/>
        </w:numPr>
        <w:tabs>
          <w:tab w:val="left" w:pos="-1099"/>
          <w:tab w:val="left" w:pos="-720"/>
          <w:tab w:val="left" w:pos="0"/>
          <w:tab w:val="left" w:pos="2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ind w:left="284" w:hanging="284"/>
        <w:rPr>
          <w:rFonts w:ascii="Arial" w:hAnsi="Arial" w:cs="Arial"/>
          <w:sz w:val="22"/>
          <w:szCs w:val="22"/>
          <w:lang w:val="en-US"/>
        </w:rPr>
      </w:pPr>
      <w:r w:rsidRPr="00566E12">
        <w:rPr>
          <w:rFonts w:ascii="Arial" w:hAnsi="Arial" w:cs="Arial"/>
          <w:sz w:val="22"/>
          <w:szCs w:val="22"/>
          <w:lang w:val="en-US"/>
        </w:rPr>
        <w:t>Past-</w:t>
      </w:r>
      <w:r w:rsidR="006253E9">
        <w:rPr>
          <w:rFonts w:ascii="Arial" w:hAnsi="Arial" w:cs="Arial"/>
          <w:sz w:val="22"/>
          <w:szCs w:val="22"/>
          <w:lang w:val="en-US"/>
        </w:rPr>
        <w:t>P</w:t>
      </w:r>
      <w:r w:rsidRPr="00566E12">
        <w:rPr>
          <w:rFonts w:ascii="Arial" w:hAnsi="Arial" w:cs="Arial"/>
          <w:sz w:val="22"/>
          <w:szCs w:val="22"/>
          <w:lang w:val="en-US"/>
        </w:rPr>
        <w:t>r</w:t>
      </w:r>
      <w:r w:rsidR="00560D8C" w:rsidRPr="00566E12">
        <w:rPr>
          <w:rFonts w:ascii="Arial" w:hAnsi="Arial" w:cs="Arial"/>
          <w:sz w:val="22"/>
          <w:szCs w:val="22"/>
          <w:lang w:val="en-US"/>
        </w:rPr>
        <w:t>e</w:t>
      </w:r>
      <w:r w:rsidRPr="00566E12">
        <w:rPr>
          <w:rFonts w:ascii="Arial" w:hAnsi="Arial" w:cs="Arial"/>
          <w:sz w:val="22"/>
          <w:szCs w:val="22"/>
          <w:lang w:val="en-US"/>
        </w:rPr>
        <w:t>sident</w:t>
      </w:r>
      <w:r w:rsidR="00DC258F" w:rsidRPr="00566E12">
        <w:rPr>
          <w:rFonts w:ascii="Arial" w:hAnsi="Arial" w:cs="Arial"/>
          <w:sz w:val="22"/>
          <w:szCs w:val="22"/>
          <w:lang w:val="en-US"/>
        </w:rPr>
        <w:t xml:space="preserve"> </w:t>
      </w:r>
      <w:r w:rsidR="00560D8C" w:rsidRPr="00566E12">
        <w:rPr>
          <w:rFonts w:ascii="Arial" w:hAnsi="Arial" w:cs="Arial"/>
          <w:sz w:val="22"/>
          <w:szCs w:val="22"/>
          <w:lang w:val="en-US"/>
        </w:rPr>
        <w:t xml:space="preserve">of the German Society for </w:t>
      </w:r>
      <w:r w:rsidR="00DC258F" w:rsidRPr="00566E12">
        <w:rPr>
          <w:rFonts w:ascii="Arial" w:hAnsi="Arial" w:cs="Arial"/>
          <w:sz w:val="22"/>
          <w:szCs w:val="22"/>
          <w:lang w:val="en-US"/>
        </w:rPr>
        <w:t>Immun</w:t>
      </w:r>
      <w:r w:rsidR="00560D8C" w:rsidRPr="00566E12">
        <w:rPr>
          <w:rFonts w:ascii="Arial" w:hAnsi="Arial" w:cs="Arial"/>
          <w:sz w:val="22"/>
          <w:szCs w:val="22"/>
          <w:lang w:val="en-US"/>
        </w:rPr>
        <w:t>ogenetics</w:t>
      </w:r>
      <w:r w:rsidR="00C75310" w:rsidRPr="00566E12">
        <w:rPr>
          <w:rFonts w:ascii="Arial" w:hAnsi="Arial" w:cs="Arial"/>
          <w:sz w:val="22"/>
          <w:szCs w:val="22"/>
          <w:lang w:val="en-US"/>
        </w:rPr>
        <w:t xml:space="preserve"> (2010-2012)</w:t>
      </w:r>
    </w:p>
    <w:p w14:paraId="09048EDF" w14:textId="77777777" w:rsidR="00F11247" w:rsidRPr="00566E12" w:rsidRDefault="00C36396" w:rsidP="0002532F">
      <w:pPr>
        <w:numPr>
          <w:ilvl w:val="0"/>
          <w:numId w:val="21"/>
        </w:numPr>
        <w:tabs>
          <w:tab w:val="left" w:pos="-1099"/>
          <w:tab w:val="left" w:pos="-720"/>
          <w:tab w:val="left" w:pos="0"/>
          <w:tab w:val="left" w:pos="28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line="320" w:lineRule="exact"/>
        <w:ind w:left="284" w:hanging="284"/>
        <w:rPr>
          <w:rFonts w:ascii="Arial" w:hAnsi="Arial" w:cs="Arial"/>
          <w:sz w:val="22"/>
          <w:szCs w:val="22"/>
          <w:lang w:val="en-US"/>
        </w:rPr>
      </w:pPr>
      <w:r>
        <w:rPr>
          <w:rFonts w:ascii="Arial" w:hAnsi="Arial" w:cs="Arial"/>
          <w:sz w:val="22"/>
          <w:szCs w:val="22"/>
          <w:lang w:val="en-US"/>
        </w:rPr>
        <w:t>Past-</w:t>
      </w:r>
      <w:r w:rsidR="006253E9">
        <w:rPr>
          <w:rFonts w:ascii="Arial" w:hAnsi="Arial" w:cs="Arial"/>
          <w:sz w:val="22"/>
          <w:szCs w:val="22"/>
          <w:lang w:val="en-US"/>
        </w:rPr>
        <w:t>S</w:t>
      </w:r>
      <w:r w:rsidR="00A047AC" w:rsidRPr="00566E12">
        <w:rPr>
          <w:rFonts w:ascii="Arial" w:hAnsi="Arial" w:cs="Arial"/>
          <w:sz w:val="22"/>
          <w:szCs w:val="22"/>
          <w:lang w:val="en-US"/>
        </w:rPr>
        <w:t xml:space="preserve">ecretary of the German Society for </w:t>
      </w:r>
      <w:r w:rsidR="00F11247" w:rsidRPr="00566E12">
        <w:rPr>
          <w:rFonts w:ascii="Arial" w:hAnsi="Arial" w:cs="Arial"/>
          <w:sz w:val="22"/>
          <w:szCs w:val="22"/>
          <w:lang w:val="en-US"/>
        </w:rPr>
        <w:t>Immun</w:t>
      </w:r>
      <w:r w:rsidR="00A047AC" w:rsidRPr="00566E12">
        <w:rPr>
          <w:rFonts w:ascii="Arial" w:hAnsi="Arial" w:cs="Arial"/>
          <w:sz w:val="22"/>
          <w:szCs w:val="22"/>
          <w:lang w:val="en-US"/>
        </w:rPr>
        <w:t>o</w:t>
      </w:r>
      <w:r w:rsidR="00F11247" w:rsidRPr="00566E12">
        <w:rPr>
          <w:rFonts w:ascii="Arial" w:hAnsi="Arial" w:cs="Arial"/>
          <w:sz w:val="22"/>
          <w:szCs w:val="22"/>
          <w:lang w:val="en-US"/>
        </w:rPr>
        <w:t>geneti</w:t>
      </w:r>
      <w:r w:rsidR="00A047AC" w:rsidRPr="00566E12">
        <w:rPr>
          <w:rFonts w:ascii="Arial" w:hAnsi="Arial" w:cs="Arial"/>
          <w:sz w:val="22"/>
          <w:szCs w:val="22"/>
          <w:lang w:val="en-US"/>
        </w:rPr>
        <w:t>cs</w:t>
      </w:r>
      <w:r w:rsidR="00F11247" w:rsidRPr="00566E12">
        <w:rPr>
          <w:rFonts w:ascii="Arial" w:hAnsi="Arial" w:cs="Arial"/>
          <w:sz w:val="22"/>
          <w:szCs w:val="22"/>
          <w:lang w:val="en-US"/>
        </w:rPr>
        <w:t xml:space="preserve"> (2004-2009)</w:t>
      </w:r>
    </w:p>
    <w:p w14:paraId="0EE9BC35" w14:textId="77777777" w:rsidR="00A047AC" w:rsidRPr="00566E12" w:rsidRDefault="00C36396" w:rsidP="0002532F">
      <w:pPr>
        <w:numPr>
          <w:ilvl w:val="0"/>
          <w:numId w:val="21"/>
        </w:numPr>
        <w:tabs>
          <w:tab w:val="left" w:pos="0"/>
          <w:tab w:val="left" w:pos="284"/>
        </w:tabs>
        <w:spacing w:before="120" w:line="320" w:lineRule="exact"/>
        <w:ind w:left="284" w:hanging="284"/>
        <w:rPr>
          <w:rFonts w:ascii="Arial" w:hAnsi="Arial" w:cs="Arial"/>
          <w:sz w:val="22"/>
          <w:szCs w:val="22"/>
          <w:lang w:val="en-US"/>
        </w:rPr>
      </w:pPr>
      <w:r>
        <w:rPr>
          <w:rFonts w:ascii="Arial" w:hAnsi="Arial" w:cs="Arial"/>
          <w:sz w:val="22"/>
          <w:szCs w:val="22"/>
          <w:lang w:val="en-US"/>
        </w:rPr>
        <w:t>Past-</w:t>
      </w:r>
      <w:r w:rsidR="006253E9">
        <w:rPr>
          <w:rFonts w:ascii="Arial" w:hAnsi="Arial" w:cs="Arial"/>
          <w:sz w:val="22"/>
          <w:szCs w:val="22"/>
          <w:lang w:val="en-US"/>
        </w:rPr>
        <w:t>C</w:t>
      </w:r>
      <w:r w:rsidR="00A047AC" w:rsidRPr="00566E12">
        <w:rPr>
          <w:rFonts w:ascii="Arial" w:hAnsi="Arial" w:cs="Arial"/>
          <w:sz w:val="22"/>
          <w:szCs w:val="22"/>
          <w:lang w:val="en-US"/>
        </w:rPr>
        <w:t>hair</w:t>
      </w:r>
      <w:r w:rsidR="00DB0136">
        <w:rPr>
          <w:rFonts w:ascii="Arial" w:hAnsi="Arial" w:cs="Arial"/>
          <w:sz w:val="22"/>
          <w:szCs w:val="22"/>
          <w:lang w:val="en-US"/>
        </w:rPr>
        <w:t xml:space="preserve"> and current member </w:t>
      </w:r>
      <w:r w:rsidR="00A047AC" w:rsidRPr="00566E12">
        <w:rPr>
          <w:rFonts w:ascii="Arial" w:hAnsi="Arial" w:cs="Arial"/>
          <w:sz w:val="22"/>
          <w:szCs w:val="22"/>
          <w:lang w:val="en-US"/>
        </w:rPr>
        <w:t xml:space="preserve">of the </w:t>
      </w:r>
      <w:r w:rsidR="008107C7" w:rsidRPr="00566E12">
        <w:rPr>
          <w:rFonts w:ascii="Arial" w:hAnsi="Arial" w:cs="Arial"/>
          <w:sz w:val="22"/>
          <w:szCs w:val="22"/>
          <w:lang w:val="en-US"/>
        </w:rPr>
        <w:t>“</w:t>
      </w:r>
      <w:r w:rsidR="006D6256" w:rsidRPr="00566E12">
        <w:rPr>
          <w:rFonts w:ascii="Arial" w:hAnsi="Arial" w:cs="Arial"/>
          <w:sz w:val="22"/>
          <w:szCs w:val="22"/>
          <w:lang w:val="en-US"/>
        </w:rPr>
        <w:t>Organ</w:t>
      </w:r>
      <w:r w:rsidR="00A047AC" w:rsidRPr="00566E12">
        <w:rPr>
          <w:rFonts w:ascii="Arial" w:hAnsi="Arial" w:cs="Arial"/>
          <w:sz w:val="22"/>
          <w:szCs w:val="22"/>
          <w:lang w:val="en-US"/>
        </w:rPr>
        <w:t xml:space="preserve"> T</w:t>
      </w:r>
      <w:r w:rsidR="006D6256" w:rsidRPr="00566E12">
        <w:rPr>
          <w:rFonts w:ascii="Arial" w:hAnsi="Arial" w:cs="Arial"/>
          <w:sz w:val="22"/>
          <w:szCs w:val="22"/>
          <w:lang w:val="en-US"/>
        </w:rPr>
        <w:t>ransplantation</w:t>
      </w:r>
      <w:r w:rsidR="00A047AC" w:rsidRPr="00566E12">
        <w:rPr>
          <w:rFonts w:ascii="Arial" w:hAnsi="Arial" w:cs="Arial"/>
          <w:sz w:val="22"/>
          <w:szCs w:val="22"/>
          <w:lang w:val="en-US"/>
        </w:rPr>
        <w:t xml:space="preserve"> Committee</w:t>
      </w:r>
      <w:r w:rsidR="008107C7" w:rsidRPr="00566E12">
        <w:rPr>
          <w:rFonts w:ascii="Arial" w:hAnsi="Arial" w:cs="Arial"/>
          <w:sz w:val="22"/>
          <w:szCs w:val="22"/>
          <w:lang w:val="en-US"/>
        </w:rPr>
        <w:t>”</w:t>
      </w:r>
      <w:r w:rsidR="006D6256" w:rsidRPr="00566E12">
        <w:rPr>
          <w:rFonts w:ascii="Arial" w:hAnsi="Arial" w:cs="Arial"/>
          <w:sz w:val="22"/>
          <w:szCs w:val="22"/>
          <w:lang w:val="en-US"/>
        </w:rPr>
        <w:t xml:space="preserve"> </w:t>
      </w:r>
      <w:r w:rsidR="00A047AC" w:rsidRPr="00566E12">
        <w:rPr>
          <w:rFonts w:ascii="Arial" w:hAnsi="Arial" w:cs="Arial"/>
          <w:sz w:val="22"/>
          <w:szCs w:val="22"/>
          <w:lang w:val="en-US"/>
        </w:rPr>
        <w:t>of the German Society for Immunogenetics</w:t>
      </w:r>
    </w:p>
    <w:p w14:paraId="37E603C3" w14:textId="77777777" w:rsidR="00A047AC" w:rsidRPr="00566E12" w:rsidRDefault="00C36396" w:rsidP="00DB0136">
      <w:pPr>
        <w:numPr>
          <w:ilvl w:val="0"/>
          <w:numId w:val="21"/>
        </w:numPr>
        <w:tabs>
          <w:tab w:val="left" w:pos="0"/>
          <w:tab w:val="left" w:pos="284"/>
        </w:tabs>
        <w:spacing w:before="120" w:line="320" w:lineRule="exact"/>
        <w:ind w:left="284" w:hanging="284"/>
        <w:rPr>
          <w:rFonts w:ascii="Arial" w:hAnsi="Arial" w:cs="Arial"/>
          <w:sz w:val="22"/>
          <w:szCs w:val="22"/>
          <w:lang w:val="en-US"/>
        </w:rPr>
      </w:pPr>
      <w:r>
        <w:rPr>
          <w:rFonts w:ascii="Arial" w:hAnsi="Arial" w:cs="Arial"/>
          <w:sz w:val="22"/>
          <w:szCs w:val="22"/>
          <w:lang w:val="en-US"/>
        </w:rPr>
        <w:t>Past-</w:t>
      </w:r>
      <w:r w:rsidR="006253E9">
        <w:rPr>
          <w:rFonts w:ascii="Arial" w:hAnsi="Arial" w:cs="Arial"/>
          <w:sz w:val="22"/>
          <w:szCs w:val="22"/>
          <w:lang w:val="en-US"/>
        </w:rPr>
        <w:t>C</w:t>
      </w:r>
      <w:r w:rsidR="00DB0136" w:rsidRPr="00DB0136">
        <w:rPr>
          <w:rFonts w:ascii="Arial" w:hAnsi="Arial" w:cs="Arial"/>
          <w:sz w:val="22"/>
          <w:szCs w:val="22"/>
          <w:lang w:val="en-US"/>
        </w:rPr>
        <w:t xml:space="preserve">hair and member </w:t>
      </w:r>
      <w:r w:rsidR="00A047AC" w:rsidRPr="00566E12">
        <w:rPr>
          <w:rFonts w:ascii="Arial" w:hAnsi="Arial" w:cs="Arial"/>
          <w:sz w:val="22"/>
          <w:szCs w:val="22"/>
          <w:lang w:val="en-US"/>
        </w:rPr>
        <w:t xml:space="preserve">of the </w:t>
      </w:r>
      <w:r w:rsidR="008107C7" w:rsidRPr="00566E12">
        <w:rPr>
          <w:rFonts w:ascii="Arial" w:hAnsi="Arial" w:cs="Arial"/>
          <w:sz w:val="22"/>
          <w:szCs w:val="22"/>
          <w:lang w:val="en-US"/>
        </w:rPr>
        <w:t>“</w:t>
      </w:r>
      <w:r w:rsidR="00A047AC" w:rsidRPr="00566E12">
        <w:rPr>
          <w:rFonts w:ascii="Arial" w:hAnsi="Arial" w:cs="Arial"/>
          <w:sz w:val="22"/>
          <w:szCs w:val="22"/>
          <w:lang w:val="en-US"/>
        </w:rPr>
        <w:t>Immunology Committee</w:t>
      </w:r>
      <w:r w:rsidR="008107C7" w:rsidRPr="00566E12">
        <w:rPr>
          <w:rFonts w:ascii="Arial" w:hAnsi="Arial" w:cs="Arial"/>
          <w:sz w:val="22"/>
          <w:szCs w:val="22"/>
          <w:lang w:val="en-US"/>
        </w:rPr>
        <w:t>”</w:t>
      </w:r>
      <w:r w:rsidR="00A047AC" w:rsidRPr="00566E12">
        <w:rPr>
          <w:rFonts w:ascii="Arial" w:hAnsi="Arial" w:cs="Arial"/>
          <w:sz w:val="22"/>
          <w:szCs w:val="22"/>
          <w:lang w:val="en-US"/>
        </w:rPr>
        <w:t xml:space="preserve"> of the German Transplantation Society</w:t>
      </w:r>
    </w:p>
    <w:p w14:paraId="0E2B26C3" w14:textId="77777777" w:rsidR="00A047AC" w:rsidRPr="00566E12" w:rsidRDefault="00DB0136" w:rsidP="0002532F">
      <w:pPr>
        <w:numPr>
          <w:ilvl w:val="0"/>
          <w:numId w:val="21"/>
        </w:numPr>
        <w:tabs>
          <w:tab w:val="left" w:pos="0"/>
          <w:tab w:val="left" w:pos="284"/>
          <w:tab w:val="left" w:pos="426"/>
        </w:tabs>
        <w:spacing w:before="120" w:line="320" w:lineRule="exact"/>
        <w:ind w:left="284" w:hanging="284"/>
        <w:rPr>
          <w:rFonts w:ascii="Arial" w:hAnsi="Arial" w:cs="Arial"/>
          <w:sz w:val="22"/>
          <w:szCs w:val="22"/>
          <w:lang w:val="en-US"/>
        </w:rPr>
      </w:pPr>
      <w:r>
        <w:rPr>
          <w:rFonts w:ascii="Arial" w:hAnsi="Arial" w:cs="Arial"/>
          <w:sz w:val="22"/>
          <w:szCs w:val="22"/>
          <w:lang w:val="en-US"/>
        </w:rPr>
        <w:t>Previous a</w:t>
      </w:r>
      <w:r w:rsidR="00AD6886" w:rsidRPr="00566E12">
        <w:rPr>
          <w:rFonts w:ascii="Arial" w:hAnsi="Arial" w:cs="Arial"/>
          <w:sz w:val="22"/>
          <w:szCs w:val="22"/>
          <w:lang w:val="en-US"/>
        </w:rPr>
        <w:t>ccreditation i</w:t>
      </w:r>
      <w:r w:rsidR="00A047AC" w:rsidRPr="00566E12">
        <w:rPr>
          <w:rFonts w:ascii="Arial" w:hAnsi="Arial" w:cs="Arial"/>
          <w:sz w:val="22"/>
          <w:szCs w:val="22"/>
          <w:lang w:val="en-US"/>
        </w:rPr>
        <w:t>nspector of the European Federation for Immunogenetics</w:t>
      </w:r>
      <w:r w:rsidR="00AD6886" w:rsidRPr="00566E12">
        <w:rPr>
          <w:rFonts w:ascii="Arial" w:hAnsi="Arial" w:cs="Arial"/>
          <w:sz w:val="22"/>
          <w:szCs w:val="22"/>
          <w:lang w:val="en-US"/>
        </w:rPr>
        <w:t xml:space="preserve"> (EFI)</w:t>
      </w:r>
    </w:p>
    <w:p w14:paraId="287AAEEE" w14:textId="77777777" w:rsidR="00A047AC" w:rsidRPr="00566E12" w:rsidRDefault="00106D90" w:rsidP="0002532F">
      <w:pPr>
        <w:numPr>
          <w:ilvl w:val="0"/>
          <w:numId w:val="21"/>
        </w:numPr>
        <w:tabs>
          <w:tab w:val="left" w:pos="0"/>
          <w:tab w:val="left" w:pos="284"/>
          <w:tab w:val="left" w:pos="426"/>
        </w:tabs>
        <w:spacing w:before="120" w:line="320" w:lineRule="exact"/>
        <w:ind w:left="284" w:hanging="284"/>
        <w:rPr>
          <w:rFonts w:ascii="Arial" w:hAnsi="Arial" w:cs="Arial"/>
          <w:sz w:val="22"/>
          <w:szCs w:val="22"/>
          <w:lang w:val="en-US"/>
        </w:rPr>
      </w:pPr>
      <w:r>
        <w:rPr>
          <w:rFonts w:ascii="Arial" w:hAnsi="Arial" w:cs="Arial"/>
          <w:sz w:val="22"/>
          <w:szCs w:val="22"/>
          <w:lang w:val="en-US"/>
        </w:rPr>
        <w:t>Previous e</w:t>
      </w:r>
      <w:r w:rsidR="00A047AC" w:rsidRPr="00566E12">
        <w:rPr>
          <w:rFonts w:ascii="Arial" w:hAnsi="Arial" w:cs="Arial"/>
          <w:sz w:val="22"/>
          <w:szCs w:val="22"/>
          <w:lang w:val="en-US"/>
        </w:rPr>
        <w:t>lected member of the Eurotransplant Management Board</w:t>
      </w:r>
      <w:r w:rsidR="00DB0136">
        <w:rPr>
          <w:rFonts w:ascii="Arial" w:hAnsi="Arial" w:cs="Arial"/>
          <w:sz w:val="22"/>
          <w:szCs w:val="22"/>
          <w:lang w:val="en-US"/>
        </w:rPr>
        <w:t xml:space="preserve"> (renamed in 20</w:t>
      </w:r>
      <w:r w:rsidR="00C36396">
        <w:rPr>
          <w:rFonts w:ascii="Arial" w:hAnsi="Arial" w:cs="Arial"/>
          <w:sz w:val="22"/>
          <w:szCs w:val="22"/>
          <w:lang w:val="en-US"/>
        </w:rPr>
        <w:t>20</w:t>
      </w:r>
      <w:r w:rsidR="00DB0136">
        <w:rPr>
          <w:rFonts w:ascii="Arial" w:hAnsi="Arial" w:cs="Arial"/>
          <w:sz w:val="22"/>
          <w:szCs w:val="22"/>
          <w:lang w:val="en-US"/>
        </w:rPr>
        <w:t xml:space="preserve"> to Council of Medicine and Science)</w:t>
      </w:r>
    </w:p>
    <w:p w14:paraId="05959AC2" w14:textId="77777777" w:rsidR="00A047AC" w:rsidRPr="00566E12" w:rsidRDefault="00DB0136" w:rsidP="0002532F">
      <w:pPr>
        <w:numPr>
          <w:ilvl w:val="0"/>
          <w:numId w:val="21"/>
        </w:numPr>
        <w:tabs>
          <w:tab w:val="left" w:pos="0"/>
          <w:tab w:val="left" w:pos="284"/>
          <w:tab w:val="left" w:pos="426"/>
        </w:tabs>
        <w:spacing w:before="120" w:line="320" w:lineRule="exact"/>
        <w:ind w:left="284" w:hanging="284"/>
        <w:rPr>
          <w:rFonts w:ascii="Arial" w:hAnsi="Arial" w:cs="Arial"/>
          <w:sz w:val="22"/>
          <w:szCs w:val="22"/>
          <w:lang w:val="en-US"/>
        </w:rPr>
      </w:pPr>
      <w:r>
        <w:rPr>
          <w:rFonts w:ascii="Arial" w:hAnsi="Arial" w:cs="Arial"/>
          <w:sz w:val="22"/>
          <w:szCs w:val="22"/>
          <w:lang w:val="en-US"/>
        </w:rPr>
        <w:t>Previous e</w:t>
      </w:r>
      <w:r w:rsidR="00A047AC" w:rsidRPr="00566E12">
        <w:rPr>
          <w:rFonts w:ascii="Arial" w:hAnsi="Arial" w:cs="Arial"/>
          <w:sz w:val="22"/>
          <w:szCs w:val="22"/>
          <w:lang w:val="en-US"/>
        </w:rPr>
        <w:t>lected member of the Tissue Typers Advisory Committee of Eurotransplant</w:t>
      </w:r>
    </w:p>
    <w:p w14:paraId="575EC417" w14:textId="77777777" w:rsidR="00A047AC" w:rsidRPr="00566E12" w:rsidRDefault="007458BF" w:rsidP="0002532F">
      <w:pPr>
        <w:numPr>
          <w:ilvl w:val="0"/>
          <w:numId w:val="21"/>
        </w:numPr>
        <w:tabs>
          <w:tab w:val="left" w:pos="0"/>
          <w:tab w:val="left" w:pos="284"/>
          <w:tab w:val="left" w:pos="426"/>
        </w:tabs>
        <w:spacing w:before="120" w:line="320" w:lineRule="exact"/>
        <w:ind w:left="284" w:hanging="284"/>
        <w:rPr>
          <w:rFonts w:ascii="Arial" w:hAnsi="Arial" w:cs="Arial"/>
          <w:sz w:val="22"/>
          <w:szCs w:val="22"/>
          <w:lang w:val="en-US"/>
        </w:rPr>
      </w:pPr>
      <w:r>
        <w:rPr>
          <w:rFonts w:ascii="Arial" w:hAnsi="Arial" w:cs="Arial"/>
          <w:sz w:val="22"/>
          <w:szCs w:val="22"/>
          <w:lang w:val="en-US"/>
        </w:rPr>
        <w:t>Previous m</w:t>
      </w:r>
      <w:r w:rsidR="00A047AC" w:rsidRPr="00566E12">
        <w:rPr>
          <w:rFonts w:ascii="Arial" w:hAnsi="Arial" w:cs="Arial"/>
          <w:sz w:val="22"/>
          <w:szCs w:val="22"/>
          <w:lang w:val="en-US"/>
        </w:rPr>
        <w:t>ember of the Executive Board of German Transplantation Society</w:t>
      </w:r>
    </w:p>
    <w:p w14:paraId="6995885C" w14:textId="77777777" w:rsidR="00684056" w:rsidRPr="00F309E3" w:rsidRDefault="00684056" w:rsidP="00F309E3">
      <w:pPr>
        <w:spacing w:before="240" w:line="320" w:lineRule="exact"/>
        <w:rPr>
          <w:rFonts w:ascii="Arial" w:hAnsi="Arial" w:cs="Arial"/>
          <w:b/>
          <w:iCs/>
          <w:sz w:val="22"/>
          <w:szCs w:val="22"/>
          <w:lang w:val="en-US"/>
        </w:rPr>
      </w:pPr>
      <w:r w:rsidRPr="00F309E3">
        <w:rPr>
          <w:rFonts w:ascii="Arial" w:hAnsi="Arial" w:cs="Arial"/>
          <w:b/>
          <w:iCs/>
          <w:sz w:val="22"/>
          <w:szCs w:val="22"/>
          <w:lang w:val="en-US"/>
        </w:rPr>
        <w:t>Organiz</w:t>
      </w:r>
      <w:r w:rsidR="00A5052B" w:rsidRPr="00F309E3">
        <w:rPr>
          <w:rFonts w:ascii="Arial" w:hAnsi="Arial" w:cs="Arial"/>
          <w:b/>
          <w:iCs/>
          <w:sz w:val="22"/>
          <w:szCs w:val="22"/>
          <w:lang w:val="en-US"/>
        </w:rPr>
        <w:t>ation of</w:t>
      </w:r>
      <w:r w:rsidRPr="00F309E3">
        <w:rPr>
          <w:rFonts w:ascii="Arial" w:hAnsi="Arial" w:cs="Arial"/>
          <w:b/>
          <w:iCs/>
          <w:sz w:val="22"/>
          <w:szCs w:val="22"/>
          <w:lang w:val="en-US"/>
        </w:rPr>
        <w:t xml:space="preserve"> </w:t>
      </w:r>
      <w:r w:rsidR="00F3708D" w:rsidRPr="00F309E3">
        <w:rPr>
          <w:rFonts w:ascii="Arial" w:hAnsi="Arial" w:cs="Arial"/>
          <w:b/>
          <w:iCs/>
          <w:sz w:val="22"/>
          <w:szCs w:val="22"/>
          <w:lang w:val="en-US"/>
        </w:rPr>
        <w:t>S</w:t>
      </w:r>
      <w:r w:rsidRPr="00F309E3">
        <w:rPr>
          <w:rFonts w:ascii="Arial" w:hAnsi="Arial" w:cs="Arial"/>
          <w:b/>
          <w:iCs/>
          <w:sz w:val="22"/>
          <w:szCs w:val="22"/>
          <w:lang w:val="en-US"/>
        </w:rPr>
        <w:t xml:space="preserve">cientific </w:t>
      </w:r>
      <w:r w:rsidR="00F3708D" w:rsidRPr="00F309E3">
        <w:rPr>
          <w:rFonts w:ascii="Arial" w:hAnsi="Arial" w:cs="Arial"/>
          <w:b/>
          <w:iCs/>
          <w:sz w:val="22"/>
          <w:szCs w:val="22"/>
          <w:lang w:val="en-US"/>
        </w:rPr>
        <w:t>M</w:t>
      </w:r>
      <w:r w:rsidRPr="00F309E3">
        <w:rPr>
          <w:rFonts w:ascii="Arial" w:hAnsi="Arial" w:cs="Arial"/>
          <w:b/>
          <w:iCs/>
          <w:sz w:val="22"/>
          <w:szCs w:val="22"/>
          <w:lang w:val="en-US"/>
        </w:rPr>
        <w:t>eetings</w:t>
      </w:r>
    </w:p>
    <w:p w14:paraId="289D21BE" w14:textId="77777777" w:rsidR="007458BF" w:rsidRPr="007458BF" w:rsidRDefault="007458BF" w:rsidP="00106D90">
      <w:pPr>
        <w:numPr>
          <w:ilvl w:val="0"/>
          <w:numId w:val="30"/>
        </w:numPr>
        <w:spacing w:before="120"/>
        <w:ind w:left="284" w:hanging="284"/>
        <w:rPr>
          <w:rFonts w:ascii="Arial" w:hAnsi="Arial" w:cs="Arial"/>
          <w:color w:val="000000"/>
          <w:sz w:val="22"/>
          <w:szCs w:val="22"/>
          <w:lang w:val="en-US" w:eastAsia="en-US"/>
        </w:rPr>
      </w:pPr>
      <w:r w:rsidRPr="007458BF">
        <w:rPr>
          <w:rFonts w:ascii="Arial" w:hAnsi="Arial" w:cs="Arial"/>
          <w:color w:val="000000"/>
          <w:sz w:val="22"/>
          <w:szCs w:val="22"/>
          <w:lang w:val="en-US" w:eastAsia="en-US"/>
        </w:rPr>
        <w:t xml:space="preserve">Organizer of the </w:t>
      </w:r>
      <w:r>
        <w:rPr>
          <w:rFonts w:ascii="Arial" w:hAnsi="Arial" w:cs="Arial"/>
          <w:color w:val="000000"/>
          <w:sz w:val="22"/>
          <w:szCs w:val="22"/>
          <w:lang w:val="en-US" w:eastAsia="en-US"/>
        </w:rPr>
        <w:t>2</w:t>
      </w:r>
      <w:r w:rsidRPr="007458BF">
        <w:rPr>
          <w:rFonts w:ascii="Arial" w:hAnsi="Arial" w:cs="Arial"/>
          <w:color w:val="000000"/>
          <w:sz w:val="22"/>
          <w:szCs w:val="22"/>
          <w:vertAlign w:val="superscript"/>
          <w:lang w:val="en-US" w:eastAsia="en-US"/>
        </w:rPr>
        <w:t>nd</w:t>
      </w:r>
      <w:r>
        <w:rPr>
          <w:rFonts w:ascii="Arial" w:hAnsi="Arial" w:cs="Arial"/>
          <w:color w:val="000000"/>
          <w:sz w:val="22"/>
          <w:szCs w:val="22"/>
          <w:lang w:val="en-US" w:eastAsia="en-US"/>
        </w:rPr>
        <w:t xml:space="preserve"> </w:t>
      </w:r>
      <w:r w:rsidRPr="007458BF">
        <w:rPr>
          <w:rFonts w:ascii="Arial" w:hAnsi="Arial" w:cs="Arial"/>
          <w:color w:val="000000"/>
          <w:sz w:val="22"/>
          <w:szCs w:val="22"/>
          <w:lang w:val="en-US" w:eastAsia="en-US"/>
        </w:rPr>
        <w:t>European CTS Expert Meeting “</w:t>
      </w:r>
      <w:r>
        <w:rPr>
          <w:rFonts w:ascii="Arial" w:hAnsi="Arial" w:cs="Arial"/>
          <w:color w:val="000000"/>
          <w:sz w:val="22"/>
          <w:szCs w:val="22"/>
          <w:lang w:val="en-US" w:eastAsia="en-US"/>
        </w:rPr>
        <w:t>Innovative Approaches in Org</w:t>
      </w:r>
      <w:r w:rsidR="005C0EFB">
        <w:rPr>
          <w:rFonts w:ascii="Arial" w:hAnsi="Arial" w:cs="Arial"/>
          <w:color w:val="000000"/>
          <w:sz w:val="22"/>
          <w:szCs w:val="22"/>
          <w:lang w:val="en-US" w:eastAsia="en-US"/>
        </w:rPr>
        <w:t>a</w:t>
      </w:r>
      <w:r>
        <w:rPr>
          <w:rFonts w:ascii="Arial" w:hAnsi="Arial" w:cs="Arial"/>
          <w:color w:val="000000"/>
          <w:sz w:val="22"/>
          <w:szCs w:val="22"/>
          <w:lang w:val="en-US" w:eastAsia="en-US"/>
        </w:rPr>
        <w:t>n Transplantation</w:t>
      </w:r>
      <w:r w:rsidRPr="007458BF">
        <w:rPr>
          <w:rFonts w:ascii="Arial" w:hAnsi="Arial" w:cs="Arial"/>
          <w:color w:val="000000"/>
          <w:sz w:val="22"/>
          <w:szCs w:val="22"/>
          <w:lang w:val="en-US" w:eastAsia="en-US"/>
        </w:rPr>
        <w:t>” 20</w:t>
      </w:r>
      <w:r>
        <w:rPr>
          <w:rFonts w:ascii="Arial" w:hAnsi="Arial" w:cs="Arial"/>
          <w:color w:val="000000"/>
          <w:sz w:val="22"/>
          <w:szCs w:val="22"/>
          <w:lang w:val="en-US" w:eastAsia="en-US"/>
        </w:rPr>
        <w:t>21</w:t>
      </w:r>
      <w:r w:rsidRPr="007458BF">
        <w:rPr>
          <w:rFonts w:ascii="Arial" w:hAnsi="Arial" w:cs="Arial"/>
          <w:color w:val="000000"/>
          <w:sz w:val="22"/>
          <w:szCs w:val="22"/>
          <w:lang w:val="en-US" w:eastAsia="en-US"/>
        </w:rPr>
        <w:t xml:space="preserve"> in Heidelberg</w:t>
      </w:r>
      <w:r>
        <w:rPr>
          <w:rFonts w:ascii="Arial" w:hAnsi="Arial" w:cs="Arial"/>
          <w:color w:val="000000"/>
          <w:sz w:val="22"/>
          <w:szCs w:val="22"/>
          <w:lang w:val="en-US" w:eastAsia="en-US"/>
        </w:rPr>
        <w:t>, Germany</w:t>
      </w:r>
    </w:p>
    <w:p w14:paraId="2F243437" w14:textId="77777777" w:rsidR="007458BF" w:rsidRDefault="007458BF" w:rsidP="00106D90">
      <w:pPr>
        <w:pStyle w:val="Default"/>
        <w:numPr>
          <w:ilvl w:val="0"/>
          <w:numId w:val="30"/>
        </w:numPr>
        <w:tabs>
          <w:tab w:val="left" w:pos="284"/>
        </w:tabs>
        <w:spacing w:before="120" w:line="320" w:lineRule="exact"/>
        <w:ind w:left="284" w:hanging="284"/>
        <w:rPr>
          <w:rFonts w:ascii="Arial" w:hAnsi="Arial" w:cs="Arial"/>
          <w:sz w:val="22"/>
          <w:szCs w:val="22"/>
        </w:rPr>
      </w:pPr>
      <w:r w:rsidRPr="007458BF">
        <w:rPr>
          <w:rFonts w:ascii="Arial" w:hAnsi="Arial" w:cs="Arial"/>
          <w:sz w:val="22"/>
          <w:szCs w:val="22"/>
        </w:rPr>
        <w:t xml:space="preserve">Organizer of the </w:t>
      </w:r>
      <w:r>
        <w:rPr>
          <w:rFonts w:ascii="Arial" w:hAnsi="Arial" w:cs="Arial"/>
          <w:sz w:val="22"/>
          <w:szCs w:val="22"/>
        </w:rPr>
        <w:t>1</w:t>
      </w:r>
      <w:r w:rsidRPr="007458BF">
        <w:rPr>
          <w:rFonts w:ascii="Arial" w:hAnsi="Arial" w:cs="Arial"/>
          <w:sz w:val="22"/>
          <w:szCs w:val="22"/>
          <w:vertAlign w:val="superscript"/>
        </w:rPr>
        <w:t>st</w:t>
      </w:r>
      <w:r>
        <w:rPr>
          <w:rFonts w:ascii="Arial" w:hAnsi="Arial" w:cs="Arial"/>
          <w:sz w:val="22"/>
          <w:szCs w:val="22"/>
        </w:rPr>
        <w:t xml:space="preserve"> European </w:t>
      </w:r>
      <w:r w:rsidRPr="007458BF">
        <w:rPr>
          <w:rFonts w:ascii="Arial" w:hAnsi="Arial" w:cs="Arial"/>
          <w:sz w:val="22"/>
          <w:szCs w:val="22"/>
        </w:rPr>
        <w:t>CTS Expert Meeting “Transplantation of Marginal Organs”</w:t>
      </w:r>
      <w:r>
        <w:rPr>
          <w:rFonts w:ascii="Arial" w:hAnsi="Arial" w:cs="Arial"/>
          <w:sz w:val="22"/>
          <w:szCs w:val="22"/>
        </w:rPr>
        <w:t xml:space="preserve"> 2018</w:t>
      </w:r>
      <w:r w:rsidRPr="007458BF">
        <w:rPr>
          <w:rFonts w:ascii="Arial" w:hAnsi="Arial" w:cs="Arial"/>
          <w:sz w:val="22"/>
          <w:szCs w:val="22"/>
        </w:rPr>
        <w:t xml:space="preserve"> in Heidelberg</w:t>
      </w:r>
      <w:r>
        <w:rPr>
          <w:rFonts w:ascii="Arial" w:hAnsi="Arial" w:cs="Arial"/>
          <w:sz w:val="22"/>
          <w:szCs w:val="22"/>
        </w:rPr>
        <w:t>, Germany</w:t>
      </w:r>
    </w:p>
    <w:p w14:paraId="1AF3F2AE" w14:textId="77777777" w:rsidR="007458BF" w:rsidRDefault="007458BF" w:rsidP="00106D90">
      <w:pPr>
        <w:pStyle w:val="Default"/>
        <w:numPr>
          <w:ilvl w:val="0"/>
          <w:numId w:val="30"/>
        </w:numPr>
        <w:tabs>
          <w:tab w:val="left" w:pos="284"/>
        </w:tabs>
        <w:spacing w:before="120" w:line="320" w:lineRule="exact"/>
        <w:ind w:left="284" w:hanging="284"/>
        <w:rPr>
          <w:rFonts w:ascii="Arial" w:hAnsi="Arial" w:cs="Arial"/>
          <w:sz w:val="22"/>
          <w:szCs w:val="22"/>
        </w:rPr>
      </w:pPr>
      <w:r w:rsidRPr="007458BF">
        <w:rPr>
          <w:rFonts w:ascii="Arial" w:hAnsi="Arial" w:cs="Arial"/>
          <w:sz w:val="22"/>
          <w:szCs w:val="22"/>
        </w:rPr>
        <w:t>Organizer of the</w:t>
      </w:r>
      <w:r>
        <w:rPr>
          <w:rFonts w:ascii="Arial" w:hAnsi="Arial" w:cs="Arial"/>
          <w:sz w:val="22"/>
          <w:szCs w:val="22"/>
        </w:rPr>
        <w:t xml:space="preserve"> </w:t>
      </w:r>
      <w:r w:rsidRPr="007458BF">
        <w:rPr>
          <w:rFonts w:ascii="Arial" w:hAnsi="Arial" w:cs="Arial"/>
          <w:sz w:val="22"/>
          <w:szCs w:val="22"/>
        </w:rPr>
        <w:t>31</w:t>
      </w:r>
      <w:r w:rsidRPr="007458BF">
        <w:rPr>
          <w:rFonts w:ascii="Arial" w:hAnsi="Arial" w:cs="Arial"/>
          <w:sz w:val="22"/>
          <w:szCs w:val="22"/>
          <w:vertAlign w:val="superscript"/>
        </w:rPr>
        <w:t xml:space="preserve">st </w:t>
      </w:r>
      <w:r w:rsidRPr="007458BF">
        <w:rPr>
          <w:rFonts w:ascii="Arial" w:hAnsi="Arial" w:cs="Arial"/>
          <w:sz w:val="22"/>
          <w:szCs w:val="22"/>
        </w:rPr>
        <w:t>Congress of the European Federation for Immunogenetics (EFI)</w:t>
      </w:r>
      <w:r>
        <w:rPr>
          <w:rFonts w:ascii="Arial" w:hAnsi="Arial" w:cs="Arial"/>
          <w:sz w:val="22"/>
          <w:szCs w:val="22"/>
        </w:rPr>
        <w:t xml:space="preserve"> 2017 in Mannheim, Germany</w:t>
      </w:r>
    </w:p>
    <w:p w14:paraId="1BB1C8BE" w14:textId="77777777" w:rsidR="00684056" w:rsidRPr="00566E12" w:rsidRDefault="00684056" w:rsidP="00106D90">
      <w:pPr>
        <w:pStyle w:val="Default"/>
        <w:numPr>
          <w:ilvl w:val="0"/>
          <w:numId w:val="30"/>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Organizer of the 1</w:t>
      </w:r>
      <w:r w:rsidRPr="00566E12">
        <w:rPr>
          <w:rFonts w:ascii="Arial" w:hAnsi="Arial" w:cs="Arial"/>
          <w:sz w:val="22"/>
          <w:szCs w:val="22"/>
          <w:vertAlign w:val="superscript"/>
        </w:rPr>
        <w:t>st</w:t>
      </w:r>
      <w:r w:rsidRPr="00566E12">
        <w:rPr>
          <w:rFonts w:ascii="Arial" w:hAnsi="Arial" w:cs="Arial"/>
          <w:sz w:val="22"/>
          <w:szCs w:val="22"/>
        </w:rPr>
        <w:t xml:space="preserve"> Summer School of the German Society for Immunogenetics 2013 in Cesme</w:t>
      </w:r>
      <w:r w:rsidR="00214F66" w:rsidRPr="00566E12">
        <w:rPr>
          <w:rFonts w:ascii="Arial" w:hAnsi="Arial" w:cs="Arial"/>
          <w:sz w:val="22"/>
          <w:szCs w:val="22"/>
        </w:rPr>
        <w:t>-</w:t>
      </w:r>
      <w:r w:rsidRPr="00566E12">
        <w:rPr>
          <w:rFonts w:ascii="Arial" w:hAnsi="Arial" w:cs="Arial"/>
          <w:sz w:val="22"/>
          <w:szCs w:val="22"/>
        </w:rPr>
        <w:t>Izmir, Turkey</w:t>
      </w:r>
    </w:p>
    <w:p w14:paraId="0E6ED819" w14:textId="77777777" w:rsidR="00106D90" w:rsidRDefault="00684056" w:rsidP="00106D90">
      <w:pPr>
        <w:pStyle w:val="Default"/>
        <w:numPr>
          <w:ilvl w:val="0"/>
          <w:numId w:val="30"/>
        </w:numPr>
        <w:tabs>
          <w:tab w:val="left" w:pos="284"/>
        </w:tabs>
        <w:spacing w:before="120" w:line="320" w:lineRule="exact"/>
        <w:ind w:left="284" w:hanging="284"/>
        <w:rPr>
          <w:rFonts w:ascii="Arial" w:hAnsi="Arial" w:cs="Arial"/>
          <w:sz w:val="22"/>
          <w:szCs w:val="22"/>
        </w:rPr>
      </w:pPr>
      <w:r w:rsidRPr="00106D90">
        <w:rPr>
          <w:rFonts w:ascii="Arial" w:hAnsi="Arial" w:cs="Arial"/>
          <w:sz w:val="22"/>
          <w:szCs w:val="22"/>
        </w:rPr>
        <w:t>Organizer and President of the 21</w:t>
      </w:r>
      <w:r w:rsidRPr="00106D90">
        <w:rPr>
          <w:rFonts w:ascii="Arial" w:hAnsi="Arial" w:cs="Arial"/>
          <w:sz w:val="22"/>
          <w:szCs w:val="22"/>
          <w:vertAlign w:val="superscript"/>
        </w:rPr>
        <w:t>st</w:t>
      </w:r>
      <w:r w:rsidRPr="00106D90">
        <w:rPr>
          <w:rFonts w:ascii="Arial" w:hAnsi="Arial" w:cs="Arial"/>
          <w:sz w:val="22"/>
          <w:szCs w:val="22"/>
        </w:rPr>
        <w:t xml:space="preserve"> Annual Meeting of the German Society for Immunogenetics 2013 in Heidelberg, Germany</w:t>
      </w:r>
    </w:p>
    <w:p w14:paraId="4D64FDF7" w14:textId="77777777" w:rsidR="00DE34E7" w:rsidRPr="00106D90" w:rsidRDefault="00DE34E7" w:rsidP="00106D90">
      <w:pPr>
        <w:pStyle w:val="Default"/>
        <w:numPr>
          <w:ilvl w:val="0"/>
          <w:numId w:val="30"/>
        </w:numPr>
        <w:tabs>
          <w:tab w:val="left" w:pos="284"/>
        </w:tabs>
        <w:spacing w:before="120" w:line="320" w:lineRule="exact"/>
        <w:ind w:left="284" w:hanging="284"/>
        <w:rPr>
          <w:rFonts w:ascii="Arial" w:hAnsi="Arial" w:cs="Arial"/>
          <w:sz w:val="22"/>
          <w:szCs w:val="22"/>
        </w:rPr>
      </w:pPr>
      <w:r w:rsidRPr="00106D90">
        <w:rPr>
          <w:rFonts w:ascii="Arial" w:hAnsi="Arial" w:cs="Arial"/>
          <w:sz w:val="22"/>
          <w:szCs w:val="22"/>
        </w:rPr>
        <w:t>Organizer of the Histocompatibility Session of the World TTS Congress in Berlin 2012</w:t>
      </w:r>
    </w:p>
    <w:p w14:paraId="366FC020" w14:textId="77777777" w:rsidR="00684056" w:rsidRPr="00566E12" w:rsidRDefault="00684056" w:rsidP="00106D90">
      <w:pPr>
        <w:pStyle w:val="Default"/>
        <w:numPr>
          <w:ilvl w:val="0"/>
          <w:numId w:val="30"/>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Co-Organizer of the 20</w:t>
      </w:r>
      <w:r w:rsidRPr="00106D90">
        <w:rPr>
          <w:rFonts w:ascii="Arial" w:hAnsi="Arial" w:cs="Arial"/>
          <w:sz w:val="22"/>
          <w:szCs w:val="22"/>
        </w:rPr>
        <w:t>th</w:t>
      </w:r>
      <w:r w:rsidRPr="00566E12">
        <w:rPr>
          <w:rFonts w:ascii="Arial" w:hAnsi="Arial" w:cs="Arial"/>
          <w:sz w:val="22"/>
          <w:szCs w:val="22"/>
        </w:rPr>
        <w:t xml:space="preserve"> Annual Meeting of the German Society for Immunogenetics 2012 in Cologne, Germany</w:t>
      </w:r>
    </w:p>
    <w:p w14:paraId="782A6BD4" w14:textId="77777777" w:rsidR="00DE34E7" w:rsidRPr="00566E12" w:rsidRDefault="00DE34E7" w:rsidP="00106D90">
      <w:pPr>
        <w:pStyle w:val="Default"/>
        <w:numPr>
          <w:ilvl w:val="0"/>
          <w:numId w:val="30"/>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Organizer of the Educational Session at the European Soci</w:t>
      </w:r>
      <w:r w:rsidR="008107C7" w:rsidRPr="00566E12">
        <w:rPr>
          <w:rFonts w:ascii="Arial" w:hAnsi="Arial" w:cs="Arial"/>
          <w:sz w:val="22"/>
          <w:szCs w:val="22"/>
        </w:rPr>
        <w:t>e</w:t>
      </w:r>
      <w:r w:rsidRPr="00566E12">
        <w:rPr>
          <w:rFonts w:ascii="Arial" w:hAnsi="Arial" w:cs="Arial"/>
          <w:sz w:val="22"/>
          <w:szCs w:val="22"/>
        </w:rPr>
        <w:t xml:space="preserve">ty for Immunogenetics </w:t>
      </w:r>
      <w:r w:rsidR="008107C7" w:rsidRPr="00566E12">
        <w:rPr>
          <w:rFonts w:ascii="Arial" w:hAnsi="Arial" w:cs="Arial"/>
          <w:sz w:val="22"/>
          <w:szCs w:val="22"/>
        </w:rPr>
        <w:t xml:space="preserve">in </w:t>
      </w:r>
      <w:r w:rsidRPr="00566E12">
        <w:rPr>
          <w:rFonts w:ascii="Arial" w:hAnsi="Arial" w:cs="Arial"/>
          <w:sz w:val="22"/>
          <w:szCs w:val="22"/>
        </w:rPr>
        <w:t>2012</w:t>
      </w:r>
    </w:p>
    <w:p w14:paraId="0E77ACEA" w14:textId="77777777" w:rsidR="00684056" w:rsidRPr="00566E12" w:rsidRDefault="00684056" w:rsidP="00106D90">
      <w:pPr>
        <w:pStyle w:val="Default"/>
        <w:numPr>
          <w:ilvl w:val="0"/>
          <w:numId w:val="30"/>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Co-Organizer of the 19</w:t>
      </w:r>
      <w:r w:rsidRPr="00566E12">
        <w:rPr>
          <w:rFonts w:ascii="Arial" w:hAnsi="Arial" w:cs="Arial"/>
          <w:sz w:val="22"/>
          <w:szCs w:val="22"/>
          <w:vertAlign w:val="superscript"/>
        </w:rPr>
        <w:t>th</w:t>
      </w:r>
      <w:r w:rsidRPr="00566E12">
        <w:rPr>
          <w:rFonts w:ascii="Arial" w:hAnsi="Arial" w:cs="Arial"/>
          <w:sz w:val="22"/>
          <w:szCs w:val="22"/>
        </w:rPr>
        <w:t xml:space="preserve"> Annual Meeting of the German Society for Immunogenetics 2012 in Berlin, Germany</w:t>
      </w:r>
    </w:p>
    <w:p w14:paraId="20313B17" w14:textId="77777777" w:rsidR="00DE34E7" w:rsidRPr="00566E12" w:rsidRDefault="00DE34E7" w:rsidP="00106D90">
      <w:pPr>
        <w:pStyle w:val="Default"/>
        <w:numPr>
          <w:ilvl w:val="0"/>
          <w:numId w:val="30"/>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lastRenderedPageBreak/>
        <w:t>Co-Organizer of the Histocompatibility Session of the World TTS Congress in Vancouver 2012</w:t>
      </w:r>
    </w:p>
    <w:p w14:paraId="1BB4B008" w14:textId="77777777" w:rsidR="00FF3A94" w:rsidRPr="00566E12" w:rsidRDefault="00214F66" w:rsidP="008B1E9A">
      <w:pPr>
        <w:pStyle w:val="Default"/>
        <w:spacing w:before="240" w:line="320" w:lineRule="exact"/>
        <w:rPr>
          <w:rFonts w:ascii="Arial" w:hAnsi="Arial" w:cs="Arial"/>
          <w:sz w:val="22"/>
          <w:szCs w:val="22"/>
        </w:rPr>
      </w:pPr>
      <w:r w:rsidRPr="00566E12">
        <w:rPr>
          <w:rFonts w:ascii="Arial" w:hAnsi="Arial" w:cs="Arial"/>
          <w:b/>
          <w:sz w:val="22"/>
          <w:szCs w:val="22"/>
        </w:rPr>
        <w:t>R</w:t>
      </w:r>
      <w:r w:rsidR="00FF3A94" w:rsidRPr="00566E12">
        <w:rPr>
          <w:rFonts w:ascii="Arial" w:hAnsi="Arial" w:cs="Arial"/>
          <w:b/>
          <w:sz w:val="22"/>
          <w:szCs w:val="22"/>
        </w:rPr>
        <w:t xml:space="preserve">oles in </w:t>
      </w:r>
      <w:r w:rsidR="00F3708D" w:rsidRPr="00566E12">
        <w:rPr>
          <w:rFonts w:ascii="Arial" w:hAnsi="Arial" w:cs="Arial"/>
          <w:b/>
          <w:sz w:val="22"/>
          <w:szCs w:val="22"/>
        </w:rPr>
        <w:t>G</w:t>
      </w:r>
      <w:r w:rsidR="00FF3A94" w:rsidRPr="00566E12">
        <w:rPr>
          <w:rFonts w:ascii="Arial" w:hAnsi="Arial" w:cs="Arial"/>
          <w:b/>
          <w:sz w:val="22"/>
          <w:szCs w:val="22"/>
        </w:rPr>
        <w:t>uideline</w:t>
      </w:r>
      <w:r w:rsidR="00DC5E25" w:rsidRPr="00566E12">
        <w:rPr>
          <w:rFonts w:ascii="Arial" w:hAnsi="Arial" w:cs="Arial"/>
          <w:b/>
          <w:sz w:val="22"/>
          <w:szCs w:val="22"/>
        </w:rPr>
        <w:t xml:space="preserve"> </w:t>
      </w:r>
      <w:r w:rsidR="00F3708D" w:rsidRPr="00566E12">
        <w:rPr>
          <w:rFonts w:ascii="Arial" w:hAnsi="Arial" w:cs="Arial"/>
          <w:b/>
          <w:sz w:val="22"/>
          <w:szCs w:val="22"/>
        </w:rPr>
        <w:t>M</w:t>
      </w:r>
      <w:r w:rsidR="00DC5E25" w:rsidRPr="00566E12">
        <w:rPr>
          <w:rFonts w:ascii="Arial" w:hAnsi="Arial" w:cs="Arial"/>
          <w:b/>
          <w:sz w:val="22"/>
          <w:szCs w:val="22"/>
        </w:rPr>
        <w:t>eeting</w:t>
      </w:r>
      <w:r w:rsidR="008107C7" w:rsidRPr="00566E12">
        <w:rPr>
          <w:rFonts w:ascii="Arial" w:hAnsi="Arial" w:cs="Arial"/>
          <w:b/>
          <w:sz w:val="22"/>
          <w:szCs w:val="22"/>
        </w:rPr>
        <w:t>s</w:t>
      </w:r>
    </w:p>
    <w:p w14:paraId="7DD1F21A" w14:textId="77777777" w:rsidR="007C2D7F" w:rsidRPr="00566E12" w:rsidRDefault="00FF3A94" w:rsidP="009D2A52">
      <w:pPr>
        <w:pStyle w:val="Default"/>
        <w:numPr>
          <w:ilvl w:val="0"/>
          <w:numId w:val="31"/>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Organizer of the German Guideline Meetings for the Determination of Unacceptable</w:t>
      </w:r>
      <w:r w:rsidR="008107C7" w:rsidRPr="00566E12">
        <w:rPr>
          <w:rFonts w:ascii="Arial" w:hAnsi="Arial" w:cs="Arial"/>
          <w:sz w:val="22"/>
          <w:szCs w:val="22"/>
        </w:rPr>
        <w:t xml:space="preserve"> Antigens</w:t>
      </w:r>
      <w:r w:rsidRPr="00566E12">
        <w:rPr>
          <w:rFonts w:ascii="Arial" w:hAnsi="Arial" w:cs="Arial"/>
          <w:sz w:val="22"/>
          <w:szCs w:val="22"/>
        </w:rPr>
        <w:t xml:space="preserve"> 2014 in Frankfurt</w:t>
      </w:r>
      <w:r w:rsidR="008107C7" w:rsidRPr="00566E12">
        <w:rPr>
          <w:rFonts w:ascii="Arial" w:hAnsi="Arial" w:cs="Arial"/>
          <w:sz w:val="22"/>
          <w:szCs w:val="22"/>
        </w:rPr>
        <w:t xml:space="preserve"> and</w:t>
      </w:r>
      <w:r w:rsidRPr="00566E12">
        <w:rPr>
          <w:rFonts w:ascii="Arial" w:hAnsi="Arial" w:cs="Arial"/>
          <w:sz w:val="22"/>
          <w:szCs w:val="22"/>
        </w:rPr>
        <w:t xml:space="preserve"> Heidelberg</w:t>
      </w:r>
      <w:r w:rsidR="007458BF">
        <w:rPr>
          <w:rFonts w:ascii="Arial" w:hAnsi="Arial" w:cs="Arial"/>
          <w:sz w:val="22"/>
          <w:szCs w:val="22"/>
        </w:rPr>
        <w:t>, Germany</w:t>
      </w:r>
    </w:p>
    <w:p w14:paraId="7A41CF6B" w14:textId="77777777" w:rsidR="007C2D7F" w:rsidRPr="00566E12" w:rsidRDefault="00F61995" w:rsidP="009D2A52">
      <w:pPr>
        <w:pStyle w:val="Default"/>
        <w:numPr>
          <w:ilvl w:val="0"/>
          <w:numId w:val="31"/>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 xml:space="preserve">Advisor </w:t>
      </w:r>
      <w:r w:rsidR="00DC5E25" w:rsidRPr="00566E12">
        <w:rPr>
          <w:rFonts w:ascii="Arial" w:hAnsi="Arial" w:cs="Arial"/>
          <w:sz w:val="22"/>
          <w:szCs w:val="22"/>
        </w:rPr>
        <w:t xml:space="preserve">of the German Physician Association </w:t>
      </w:r>
      <w:r w:rsidRPr="00566E12">
        <w:rPr>
          <w:rFonts w:ascii="Arial" w:hAnsi="Arial" w:cs="Arial"/>
          <w:sz w:val="22"/>
          <w:szCs w:val="22"/>
        </w:rPr>
        <w:t xml:space="preserve">in </w:t>
      </w:r>
      <w:r w:rsidR="006D2A4E">
        <w:rPr>
          <w:rFonts w:ascii="Arial" w:hAnsi="Arial" w:cs="Arial"/>
          <w:sz w:val="22"/>
          <w:szCs w:val="22"/>
        </w:rPr>
        <w:t xml:space="preserve"> </w:t>
      </w:r>
      <w:r w:rsidR="00DC5E25" w:rsidRPr="00566E12">
        <w:rPr>
          <w:rFonts w:ascii="Arial" w:hAnsi="Arial" w:cs="Arial"/>
          <w:sz w:val="22"/>
          <w:szCs w:val="22"/>
        </w:rPr>
        <w:t>Guideline Meetings</w:t>
      </w:r>
      <w:r w:rsidR="007458BF">
        <w:rPr>
          <w:rFonts w:ascii="Arial" w:hAnsi="Arial" w:cs="Arial"/>
          <w:sz w:val="22"/>
          <w:szCs w:val="22"/>
        </w:rPr>
        <w:t xml:space="preserve"> for Kidney Transplantation</w:t>
      </w:r>
    </w:p>
    <w:p w14:paraId="49BF455D" w14:textId="77777777" w:rsidR="007C2D7F" w:rsidRPr="00566E12" w:rsidRDefault="00FF3A94" w:rsidP="009D2A52">
      <w:pPr>
        <w:pStyle w:val="Default"/>
        <w:numPr>
          <w:ilvl w:val="0"/>
          <w:numId w:val="31"/>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Co-Organizer of the TTS Guidelines Meeting on HLA and Non-HLA Antibody Testing, Rome 2012</w:t>
      </w:r>
    </w:p>
    <w:p w14:paraId="49D4E69D" w14:textId="77777777" w:rsidR="00FF3A94" w:rsidRPr="00566E12" w:rsidRDefault="00FF3A94" w:rsidP="009D2A52">
      <w:pPr>
        <w:pStyle w:val="Default"/>
        <w:numPr>
          <w:ilvl w:val="0"/>
          <w:numId w:val="31"/>
        </w:numPr>
        <w:tabs>
          <w:tab w:val="left" w:pos="284"/>
        </w:tabs>
        <w:spacing w:before="120" w:line="320" w:lineRule="exact"/>
        <w:ind w:left="284" w:hanging="284"/>
        <w:rPr>
          <w:rFonts w:ascii="Arial" w:hAnsi="Arial" w:cs="Arial"/>
          <w:sz w:val="22"/>
          <w:szCs w:val="22"/>
        </w:rPr>
      </w:pPr>
      <w:r w:rsidRPr="00566E12">
        <w:rPr>
          <w:rFonts w:ascii="Arial" w:hAnsi="Arial" w:cs="Arial"/>
          <w:sz w:val="22"/>
          <w:szCs w:val="22"/>
        </w:rPr>
        <w:t xml:space="preserve">Member of the Transplantation Guidelines Committee of the </w:t>
      </w:r>
      <w:r w:rsidR="00214F66" w:rsidRPr="00566E12">
        <w:rPr>
          <w:rFonts w:ascii="Arial" w:hAnsi="Arial" w:cs="Arial"/>
          <w:sz w:val="22"/>
          <w:szCs w:val="22"/>
        </w:rPr>
        <w:t>European Association of Urology (</w:t>
      </w:r>
      <w:r w:rsidRPr="00566E12">
        <w:rPr>
          <w:rFonts w:ascii="Arial" w:hAnsi="Arial" w:cs="Arial"/>
          <w:sz w:val="22"/>
          <w:szCs w:val="22"/>
        </w:rPr>
        <w:t>EAU</w:t>
      </w:r>
      <w:r w:rsidR="00214F66" w:rsidRPr="00566E12">
        <w:rPr>
          <w:rFonts w:ascii="Arial" w:hAnsi="Arial" w:cs="Arial"/>
          <w:sz w:val="22"/>
          <w:szCs w:val="22"/>
        </w:rPr>
        <w:t>)</w:t>
      </w:r>
      <w:r w:rsidRPr="00566E12">
        <w:rPr>
          <w:rFonts w:ascii="Arial" w:hAnsi="Arial" w:cs="Arial"/>
          <w:sz w:val="22"/>
          <w:szCs w:val="22"/>
        </w:rPr>
        <w:t xml:space="preserve"> 2009 and 2010</w:t>
      </w:r>
      <w:r w:rsidR="00DC5E25" w:rsidRPr="00566E12">
        <w:rPr>
          <w:rFonts w:ascii="Arial" w:hAnsi="Arial" w:cs="Arial"/>
          <w:sz w:val="22"/>
          <w:szCs w:val="22"/>
        </w:rPr>
        <w:t xml:space="preserve"> </w:t>
      </w:r>
    </w:p>
    <w:p w14:paraId="079FE91C" w14:textId="77777777" w:rsidR="00110714" w:rsidRPr="00566E12" w:rsidRDefault="00110714" w:rsidP="00541517">
      <w:pPr>
        <w:tabs>
          <w:tab w:val="left" w:pos="0"/>
        </w:tabs>
        <w:spacing w:before="240" w:line="320" w:lineRule="exact"/>
        <w:rPr>
          <w:rFonts w:ascii="Arial" w:hAnsi="Arial" w:cs="Arial"/>
          <w:b/>
          <w:sz w:val="22"/>
          <w:szCs w:val="22"/>
          <w:lang w:val="en-US"/>
        </w:rPr>
      </w:pPr>
      <w:r w:rsidRPr="00566E12">
        <w:rPr>
          <w:rFonts w:ascii="Arial" w:hAnsi="Arial" w:cs="Arial"/>
          <w:b/>
          <w:sz w:val="22"/>
          <w:szCs w:val="22"/>
          <w:lang w:val="en-US"/>
        </w:rPr>
        <w:t>Scientific Awards, Honor</w:t>
      </w:r>
      <w:r w:rsidR="009D2A52" w:rsidRPr="00566E12">
        <w:rPr>
          <w:rFonts w:ascii="Arial" w:hAnsi="Arial" w:cs="Arial"/>
          <w:b/>
          <w:sz w:val="22"/>
          <w:szCs w:val="22"/>
          <w:lang w:val="en-US"/>
        </w:rPr>
        <w:t>s</w:t>
      </w:r>
    </w:p>
    <w:p w14:paraId="1CBE8302" w14:textId="77777777" w:rsidR="005C0EFB" w:rsidRPr="00566E12" w:rsidRDefault="005C0EFB" w:rsidP="005C0EFB">
      <w:pPr>
        <w:numPr>
          <w:ilvl w:val="0"/>
          <w:numId w:val="27"/>
        </w:numPr>
        <w:tabs>
          <w:tab w:val="left" w:pos="0"/>
          <w:tab w:val="left" w:pos="284"/>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rPr>
        <w:t>New Key Opinion Leader (</w:t>
      </w:r>
      <w:r w:rsidR="00A5052B">
        <w:rPr>
          <w:rFonts w:ascii="Arial" w:hAnsi="Arial" w:cs="Arial"/>
          <w:sz w:val="22"/>
          <w:szCs w:val="22"/>
          <w:lang w:val="en-US"/>
        </w:rPr>
        <w:t>n</w:t>
      </w:r>
      <w:r w:rsidRPr="00566E12">
        <w:rPr>
          <w:rFonts w:ascii="Arial" w:hAnsi="Arial" w:cs="Arial"/>
          <w:sz w:val="22"/>
          <w:szCs w:val="22"/>
          <w:lang w:val="en-US"/>
        </w:rPr>
        <w:t>KOL) of The Transplantation Society (TTS) 2009</w:t>
      </w:r>
    </w:p>
    <w:p w14:paraId="53B4A12B" w14:textId="77777777" w:rsidR="005C0EFB" w:rsidRDefault="005C0EFB" w:rsidP="005C0EFB">
      <w:pPr>
        <w:numPr>
          <w:ilvl w:val="2"/>
          <w:numId w:val="27"/>
        </w:numPr>
        <w:tabs>
          <w:tab w:val="left" w:pos="0"/>
          <w:tab w:val="left" w:pos="284"/>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rPr>
        <w:t>Human Transplantation Immunology Award of the German Transplantation Society 2005</w:t>
      </w:r>
    </w:p>
    <w:p w14:paraId="5397C65C" w14:textId="77777777" w:rsidR="005C0EFB" w:rsidRPr="00566E12" w:rsidRDefault="005C0EFB" w:rsidP="00A5052B">
      <w:pPr>
        <w:tabs>
          <w:tab w:val="left" w:pos="567"/>
        </w:tabs>
        <w:spacing w:line="320" w:lineRule="exact"/>
        <w:rPr>
          <w:rFonts w:ascii="Arial" w:hAnsi="Arial" w:cs="Arial"/>
          <w:sz w:val="22"/>
          <w:szCs w:val="22"/>
          <w:lang w:val="en-US"/>
        </w:rPr>
      </w:pPr>
      <w:r>
        <w:rPr>
          <w:rFonts w:ascii="Arial" w:hAnsi="Arial" w:cs="Arial"/>
          <w:sz w:val="22"/>
          <w:szCs w:val="22"/>
          <w:lang w:val="en-US"/>
        </w:rPr>
        <w:tab/>
      </w:r>
      <w:r>
        <w:rPr>
          <w:rFonts w:ascii="Arial" w:hAnsi="Arial" w:cs="Arial"/>
          <w:sz w:val="22"/>
          <w:szCs w:val="22"/>
          <w:lang w:val="en-US"/>
        </w:rPr>
        <w:tab/>
      </w:r>
      <w:r w:rsidRPr="00566E12">
        <w:rPr>
          <w:rFonts w:ascii="Arial" w:hAnsi="Arial" w:cs="Arial"/>
          <w:sz w:val="22"/>
          <w:szCs w:val="22"/>
          <w:lang w:val="en-US"/>
        </w:rPr>
        <w:t>(10.000 EUR, sponsored by Genzyme)</w:t>
      </w:r>
    </w:p>
    <w:p w14:paraId="00A1AC2A" w14:textId="77777777" w:rsidR="006449D2" w:rsidRPr="00566E12" w:rsidRDefault="006449D2" w:rsidP="00CD03C7">
      <w:pPr>
        <w:numPr>
          <w:ilvl w:val="1"/>
          <w:numId w:val="32"/>
        </w:numPr>
        <w:tabs>
          <w:tab w:val="left" w:pos="0"/>
          <w:tab w:val="left" w:pos="284"/>
          <w:tab w:val="left" w:pos="709"/>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Research Award of the German Society for Immunogenetics 2002 (500 EUR)</w:t>
      </w:r>
    </w:p>
    <w:p w14:paraId="55567A95" w14:textId="77777777" w:rsidR="005C0EFB" w:rsidRDefault="005C0EFB" w:rsidP="005C0EFB">
      <w:pPr>
        <w:numPr>
          <w:ilvl w:val="0"/>
          <w:numId w:val="32"/>
        </w:numPr>
        <w:tabs>
          <w:tab w:val="clear" w:pos="742"/>
          <w:tab w:val="left" w:pos="0"/>
          <w:tab w:val="left" w:pos="284"/>
        </w:tabs>
        <w:spacing w:before="120" w:line="320" w:lineRule="exact"/>
        <w:ind w:left="284" w:hanging="284"/>
        <w:jc w:val="both"/>
        <w:rPr>
          <w:rFonts w:ascii="Arial" w:hAnsi="Arial" w:cs="Arial"/>
          <w:sz w:val="22"/>
          <w:szCs w:val="22"/>
          <w:lang w:val="en-US"/>
        </w:rPr>
      </w:pPr>
      <w:r w:rsidRPr="00566E12">
        <w:rPr>
          <w:rFonts w:ascii="Arial" w:hAnsi="Arial" w:cs="Arial"/>
          <w:sz w:val="22"/>
          <w:szCs w:val="22"/>
          <w:lang w:val="en-US"/>
        </w:rPr>
        <w:t>Research Award of European Society for Organ Transplantation 1995</w:t>
      </w:r>
    </w:p>
    <w:p w14:paraId="71A9903A" w14:textId="77777777" w:rsidR="005C0EFB" w:rsidRPr="00566E12" w:rsidRDefault="005C0EFB" w:rsidP="00A5052B">
      <w:pPr>
        <w:tabs>
          <w:tab w:val="left" w:pos="567"/>
        </w:tabs>
        <w:spacing w:line="320" w:lineRule="exact"/>
        <w:rPr>
          <w:rFonts w:ascii="Arial" w:hAnsi="Arial" w:cs="Arial"/>
          <w:sz w:val="22"/>
          <w:szCs w:val="22"/>
          <w:lang w:val="en-US"/>
        </w:rPr>
      </w:pPr>
      <w:r>
        <w:rPr>
          <w:rFonts w:ascii="Arial" w:hAnsi="Arial" w:cs="Arial"/>
          <w:sz w:val="22"/>
          <w:szCs w:val="22"/>
          <w:lang w:val="en-US"/>
        </w:rPr>
        <w:tab/>
      </w:r>
      <w:r>
        <w:rPr>
          <w:rFonts w:ascii="Arial" w:hAnsi="Arial" w:cs="Arial"/>
          <w:sz w:val="22"/>
          <w:szCs w:val="22"/>
          <w:lang w:val="en-US"/>
        </w:rPr>
        <w:tab/>
      </w:r>
      <w:r w:rsidRPr="00566E12">
        <w:rPr>
          <w:rFonts w:ascii="Arial" w:hAnsi="Arial" w:cs="Arial"/>
          <w:sz w:val="22"/>
          <w:szCs w:val="22"/>
          <w:lang w:val="en-US"/>
        </w:rPr>
        <w:t>(ESOT Research Award 4.000 DM, sponsored by Biotest)</w:t>
      </w:r>
    </w:p>
    <w:p w14:paraId="110EEE2B" w14:textId="77777777" w:rsidR="00110714" w:rsidRPr="00566E12" w:rsidRDefault="00110714" w:rsidP="00CD03C7">
      <w:pPr>
        <w:numPr>
          <w:ilvl w:val="2"/>
          <w:numId w:val="33"/>
        </w:numPr>
        <w:tabs>
          <w:tab w:val="left" w:pos="0"/>
          <w:tab w:val="left" w:pos="284"/>
          <w:tab w:val="left" w:pos="709"/>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Best Abstract Awards at Conferences of the European Society for Immunogenetics</w:t>
      </w:r>
    </w:p>
    <w:p w14:paraId="04D3AD15" w14:textId="77777777" w:rsidR="00110714" w:rsidRPr="00566E12" w:rsidRDefault="009D2A52" w:rsidP="009D2A52">
      <w:pPr>
        <w:tabs>
          <w:tab w:val="left" w:pos="709"/>
          <w:tab w:val="left" w:pos="1843"/>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ab/>
      </w:r>
      <w:r w:rsidRPr="00566E12">
        <w:rPr>
          <w:rFonts w:ascii="Arial" w:hAnsi="Arial" w:cs="Arial"/>
          <w:sz w:val="22"/>
          <w:szCs w:val="22"/>
          <w:lang w:val="en-US"/>
        </w:rPr>
        <w:tab/>
      </w:r>
      <w:r w:rsidR="00110714" w:rsidRPr="00566E12">
        <w:rPr>
          <w:rFonts w:ascii="Arial" w:hAnsi="Arial" w:cs="Arial"/>
          <w:sz w:val="22"/>
          <w:szCs w:val="22"/>
          <w:lang w:val="en-US"/>
        </w:rPr>
        <w:t>EFI 1999 Crete</w:t>
      </w:r>
    </w:p>
    <w:p w14:paraId="47A3C0B7" w14:textId="77777777" w:rsidR="00110714" w:rsidRPr="00566E12" w:rsidRDefault="009D2A52" w:rsidP="009D2A52">
      <w:pPr>
        <w:tabs>
          <w:tab w:val="left" w:pos="709"/>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ab/>
      </w:r>
      <w:r w:rsidRPr="00566E12">
        <w:rPr>
          <w:rFonts w:ascii="Arial" w:hAnsi="Arial" w:cs="Arial"/>
          <w:sz w:val="22"/>
          <w:szCs w:val="22"/>
          <w:lang w:val="en-US"/>
        </w:rPr>
        <w:tab/>
      </w:r>
      <w:r w:rsidR="00110714" w:rsidRPr="00566E12">
        <w:rPr>
          <w:rFonts w:ascii="Arial" w:hAnsi="Arial" w:cs="Arial"/>
          <w:sz w:val="22"/>
          <w:szCs w:val="22"/>
          <w:lang w:val="en-US"/>
        </w:rPr>
        <w:t>EFI 2004 Sofia</w:t>
      </w:r>
    </w:p>
    <w:p w14:paraId="70250E42" w14:textId="77777777" w:rsidR="00110714" w:rsidRPr="00566E12" w:rsidRDefault="009D2A52" w:rsidP="009D2A52">
      <w:pPr>
        <w:tabs>
          <w:tab w:val="left" w:pos="709"/>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ab/>
      </w:r>
      <w:r w:rsidRPr="00566E12">
        <w:rPr>
          <w:rFonts w:ascii="Arial" w:hAnsi="Arial" w:cs="Arial"/>
          <w:sz w:val="22"/>
          <w:szCs w:val="22"/>
          <w:lang w:val="en-US"/>
        </w:rPr>
        <w:tab/>
      </w:r>
      <w:r w:rsidR="00110714" w:rsidRPr="00566E12">
        <w:rPr>
          <w:rFonts w:ascii="Arial" w:hAnsi="Arial" w:cs="Arial"/>
          <w:sz w:val="22"/>
          <w:szCs w:val="22"/>
          <w:lang w:val="en-US"/>
        </w:rPr>
        <w:t>EFI 2005 Istanbul</w:t>
      </w:r>
    </w:p>
    <w:p w14:paraId="58A0FBC0" w14:textId="77777777" w:rsidR="00110714" w:rsidRPr="00566E12" w:rsidRDefault="00110714" w:rsidP="00CD03C7">
      <w:pPr>
        <w:numPr>
          <w:ilvl w:val="1"/>
          <w:numId w:val="32"/>
        </w:numPr>
        <w:tabs>
          <w:tab w:val="left" w:pos="0"/>
          <w:tab w:val="left" w:pos="284"/>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Merit Award of the American Society for Histocompatibility and Immunogenetics 2002</w:t>
      </w:r>
    </w:p>
    <w:p w14:paraId="32E6E5AB" w14:textId="77777777" w:rsidR="00110714" w:rsidRDefault="006449D2" w:rsidP="006449D2">
      <w:pPr>
        <w:numPr>
          <w:ilvl w:val="0"/>
          <w:numId w:val="34"/>
        </w:numPr>
        <w:tabs>
          <w:tab w:val="clear" w:pos="742"/>
          <w:tab w:val="left" w:pos="0"/>
          <w:tab w:val="left" w:pos="284"/>
        </w:tabs>
        <w:spacing w:before="120" w:line="320" w:lineRule="exact"/>
        <w:ind w:left="425" w:hanging="425"/>
        <w:jc w:val="both"/>
        <w:rPr>
          <w:rFonts w:ascii="Arial" w:hAnsi="Arial" w:cs="Arial"/>
          <w:sz w:val="22"/>
          <w:szCs w:val="22"/>
          <w:lang w:val="en-US"/>
        </w:rPr>
      </w:pPr>
      <w:r w:rsidRPr="00566E12">
        <w:rPr>
          <w:rFonts w:ascii="Arial" w:hAnsi="Arial" w:cs="Arial"/>
          <w:sz w:val="22"/>
          <w:szCs w:val="22"/>
          <w:lang w:val="en-US"/>
        </w:rPr>
        <w:t>Several travel awards for international transplantation conferences</w:t>
      </w:r>
    </w:p>
    <w:p w14:paraId="5F05A0B2" w14:textId="77777777" w:rsidR="006253E9" w:rsidRPr="006253E9" w:rsidRDefault="006253E9" w:rsidP="00C60AA5">
      <w:pPr>
        <w:tabs>
          <w:tab w:val="left" w:pos="0"/>
          <w:tab w:val="left" w:pos="284"/>
        </w:tabs>
        <w:spacing w:before="240" w:line="320" w:lineRule="exact"/>
        <w:jc w:val="both"/>
        <w:rPr>
          <w:rFonts w:ascii="Arial" w:hAnsi="Arial" w:cs="Arial"/>
          <w:b/>
          <w:sz w:val="22"/>
          <w:szCs w:val="22"/>
          <w:lang w:val="en-US"/>
        </w:rPr>
      </w:pPr>
      <w:r w:rsidRPr="006253E9">
        <w:rPr>
          <w:rFonts w:ascii="Arial" w:hAnsi="Arial" w:cs="Arial"/>
          <w:b/>
          <w:sz w:val="22"/>
          <w:szCs w:val="22"/>
          <w:lang w:val="en-US"/>
        </w:rPr>
        <w:t>Patent</w:t>
      </w:r>
      <w:r w:rsidR="009D3DDB">
        <w:rPr>
          <w:rFonts w:ascii="Arial" w:hAnsi="Arial" w:cs="Arial"/>
          <w:b/>
          <w:sz w:val="22"/>
          <w:szCs w:val="22"/>
          <w:lang w:val="en-US"/>
        </w:rPr>
        <w:t xml:space="preserve"> Application</w:t>
      </w:r>
    </w:p>
    <w:p w14:paraId="75F2A2C1" w14:textId="77777777" w:rsidR="00106D90" w:rsidRPr="00616F9A" w:rsidRDefault="002C1D79" w:rsidP="00D027C5">
      <w:pPr>
        <w:numPr>
          <w:ilvl w:val="1"/>
          <w:numId w:val="32"/>
        </w:numPr>
        <w:tabs>
          <w:tab w:val="clear" w:pos="2007"/>
          <w:tab w:val="left" w:pos="0"/>
          <w:tab w:val="left" w:pos="284"/>
        </w:tabs>
        <w:spacing w:before="120" w:line="320" w:lineRule="exact"/>
        <w:ind w:left="284" w:hanging="284"/>
        <w:jc w:val="both"/>
        <w:rPr>
          <w:rFonts w:ascii="Arial" w:hAnsi="Arial" w:cs="Arial"/>
          <w:b/>
          <w:sz w:val="22"/>
          <w:szCs w:val="22"/>
          <w:lang w:val="en-US"/>
        </w:rPr>
      </w:pPr>
      <w:r w:rsidRPr="00106D90">
        <w:rPr>
          <w:rFonts w:ascii="Arial" w:hAnsi="Arial" w:cs="Arial"/>
          <w:sz w:val="22"/>
          <w:szCs w:val="22"/>
          <w:lang w:val="en-US"/>
        </w:rPr>
        <w:t xml:space="preserve">MIC </w:t>
      </w:r>
      <w:r w:rsidR="009D3DDB" w:rsidRPr="00106D90">
        <w:rPr>
          <w:rFonts w:ascii="Arial" w:hAnsi="Arial" w:cs="Arial"/>
          <w:sz w:val="22"/>
          <w:szCs w:val="22"/>
          <w:lang w:val="en-US"/>
        </w:rPr>
        <w:t>t</w:t>
      </w:r>
      <w:r w:rsidRPr="00106D90">
        <w:rPr>
          <w:rFonts w:ascii="Arial" w:hAnsi="Arial" w:cs="Arial"/>
          <w:sz w:val="22"/>
          <w:szCs w:val="22"/>
          <w:lang w:val="en-US"/>
        </w:rPr>
        <w:t>herapy for specific immunosuppression in transplantation (PCT/EP2019/062857)</w:t>
      </w:r>
    </w:p>
    <w:p w14:paraId="785ABB00" w14:textId="77777777" w:rsidR="00DA15CA" w:rsidRDefault="00DA15CA" w:rsidP="00616F9A">
      <w:pPr>
        <w:tabs>
          <w:tab w:val="left" w:pos="0"/>
          <w:tab w:val="left" w:pos="284"/>
        </w:tabs>
        <w:spacing w:before="120" w:line="320" w:lineRule="exact"/>
        <w:rPr>
          <w:rFonts w:ascii="Arial" w:hAnsi="Arial" w:cs="Arial"/>
          <w:b/>
          <w:sz w:val="22"/>
          <w:szCs w:val="22"/>
          <w:lang w:val="en-US"/>
        </w:rPr>
      </w:pPr>
    </w:p>
    <w:p w14:paraId="4BC4D6A0" w14:textId="77777777" w:rsidR="00616F9A" w:rsidRDefault="00616F9A" w:rsidP="00616F9A">
      <w:pPr>
        <w:tabs>
          <w:tab w:val="left" w:pos="0"/>
          <w:tab w:val="left" w:pos="284"/>
        </w:tabs>
        <w:spacing w:before="120" w:line="320" w:lineRule="exact"/>
        <w:rPr>
          <w:rFonts w:ascii="Arial" w:hAnsi="Arial" w:cs="Arial"/>
          <w:b/>
          <w:sz w:val="22"/>
          <w:szCs w:val="22"/>
          <w:lang w:val="en-US"/>
        </w:rPr>
      </w:pPr>
      <w:r>
        <w:rPr>
          <w:rFonts w:ascii="Arial" w:hAnsi="Arial" w:cs="Arial"/>
          <w:b/>
          <w:sz w:val="22"/>
          <w:szCs w:val="22"/>
          <w:lang w:val="en-US"/>
        </w:rPr>
        <w:t>List of Publications</w:t>
      </w:r>
    </w:p>
    <w:p w14:paraId="596A9A0E" w14:textId="77777777" w:rsidR="00616F9A" w:rsidRPr="00E40F70" w:rsidRDefault="00616F9A" w:rsidP="00616F9A">
      <w:pPr>
        <w:tabs>
          <w:tab w:val="left" w:pos="0"/>
          <w:tab w:val="left" w:pos="284"/>
        </w:tabs>
        <w:spacing w:before="120" w:line="320" w:lineRule="exact"/>
        <w:rPr>
          <w:rFonts w:ascii="Arial" w:hAnsi="Arial" w:cs="Arial"/>
          <w:sz w:val="22"/>
          <w:szCs w:val="22"/>
          <w:lang w:val="en-US"/>
        </w:rPr>
      </w:pPr>
      <w:r w:rsidRPr="00E40F70">
        <w:rPr>
          <w:rFonts w:ascii="Arial" w:hAnsi="Arial" w:cs="Arial"/>
          <w:b/>
          <w:sz w:val="22"/>
          <w:szCs w:val="22"/>
          <w:lang w:val="en-US"/>
        </w:rPr>
        <w:t>Original Publications</w:t>
      </w:r>
    </w:p>
    <w:p w14:paraId="69A4F46F" w14:textId="77777777" w:rsidR="005767C8" w:rsidRPr="005767C8" w:rsidRDefault="00616F9A" w:rsidP="00131E8C">
      <w:pPr>
        <w:numPr>
          <w:ilvl w:val="0"/>
          <w:numId w:val="1"/>
        </w:numPr>
        <w:tabs>
          <w:tab w:val="left" w:pos="0"/>
          <w:tab w:val="left" w:pos="567"/>
        </w:tabs>
        <w:spacing w:before="120" w:line="320" w:lineRule="exact"/>
        <w:rPr>
          <w:rFonts w:ascii="Arial" w:hAnsi="Arial" w:cs="Arial"/>
          <w:sz w:val="22"/>
          <w:szCs w:val="22"/>
          <w:lang w:val="en-US"/>
        </w:rPr>
      </w:pPr>
      <w:r w:rsidRPr="005767C8">
        <w:rPr>
          <w:rFonts w:ascii="Arial" w:hAnsi="Arial" w:cs="Arial"/>
          <w:sz w:val="22"/>
          <w:szCs w:val="22"/>
          <w:lang w:val="en-US"/>
        </w:rPr>
        <w:t xml:space="preserve">Terness P, </w:t>
      </w:r>
      <w:r w:rsidRPr="005767C8">
        <w:rPr>
          <w:rFonts w:ascii="Arial" w:hAnsi="Arial" w:cs="Arial"/>
          <w:b/>
          <w:sz w:val="22"/>
          <w:szCs w:val="22"/>
          <w:lang w:val="en-US"/>
        </w:rPr>
        <w:t>Süsal C</w:t>
      </w:r>
      <w:r w:rsidRPr="005767C8">
        <w:rPr>
          <w:rFonts w:ascii="Arial" w:hAnsi="Arial" w:cs="Arial"/>
          <w:sz w:val="22"/>
          <w:szCs w:val="22"/>
          <w:lang w:val="en-US"/>
        </w:rPr>
        <w:t xml:space="preserve">, Opelz G. Suppression of antibody response to allogeneic blood in rats: a model for preventing sensitization to donor-specific transfusion. Transplant Proc 17:2409-2413, 1985 </w:t>
      </w:r>
    </w:p>
    <w:p w14:paraId="78422EFF" w14:textId="77777777" w:rsidR="00616F9A" w:rsidRPr="005767C8" w:rsidRDefault="00616F9A" w:rsidP="00131E8C">
      <w:pPr>
        <w:numPr>
          <w:ilvl w:val="0"/>
          <w:numId w:val="1"/>
        </w:numPr>
        <w:tabs>
          <w:tab w:val="left" w:pos="0"/>
          <w:tab w:val="left" w:pos="567"/>
        </w:tabs>
        <w:spacing w:before="120" w:line="320" w:lineRule="exact"/>
        <w:rPr>
          <w:rFonts w:ascii="Arial" w:hAnsi="Arial" w:cs="Arial"/>
          <w:sz w:val="22"/>
          <w:szCs w:val="22"/>
          <w:lang w:val="en-US"/>
        </w:rPr>
      </w:pPr>
      <w:r w:rsidRPr="005767C8">
        <w:rPr>
          <w:rFonts w:ascii="Arial" w:hAnsi="Arial" w:cs="Arial"/>
          <w:b/>
          <w:sz w:val="22"/>
          <w:szCs w:val="22"/>
          <w:lang w:val="en-US"/>
        </w:rPr>
        <w:lastRenderedPageBreak/>
        <w:t>Süsal C</w:t>
      </w:r>
      <w:r w:rsidRPr="005767C8">
        <w:rPr>
          <w:rFonts w:ascii="Arial" w:hAnsi="Arial" w:cs="Arial"/>
          <w:sz w:val="22"/>
          <w:szCs w:val="22"/>
          <w:lang w:val="en-US"/>
        </w:rPr>
        <w:t xml:space="preserve">, Terness P, Opelz G. Suppression of graft-versus-host reaction in rats by pretreatment of donor cells with a non-cytotoxic immunosuppressive serum. Transplant Proc 19:572-575, 1987 </w:t>
      </w:r>
    </w:p>
    <w:p w14:paraId="1E11E353" w14:textId="77777777" w:rsidR="00616F9A" w:rsidRPr="00E40F70" w:rsidRDefault="00616F9A" w:rsidP="00616F9A">
      <w:pPr>
        <w:numPr>
          <w:ilvl w:val="0"/>
          <w:numId w:val="1"/>
        </w:numPr>
        <w:tabs>
          <w:tab w:val="left" w:pos="0"/>
          <w:tab w:val="left" w:pos="567"/>
        </w:tabs>
        <w:spacing w:before="120" w:line="320" w:lineRule="exact"/>
        <w:rPr>
          <w:rFonts w:ascii="Arial" w:hAnsi="Arial" w:cs="Arial"/>
          <w:sz w:val="22"/>
          <w:szCs w:val="22"/>
          <w:lang w:val="en-US"/>
        </w:rPr>
      </w:pPr>
      <w:r w:rsidRPr="00E40F70">
        <w:rPr>
          <w:rFonts w:ascii="Arial" w:hAnsi="Arial" w:cs="Arial"/>
          <w:sz w:val="22"/>
          <w:szCs w:val="22"/>
          <w:lang w:val="en-US"/>
        </w:rPr>
        <w:t xml:space="preserve">Terness P, Kisiel U, </w:t>
      </w:r>
      <w:r w:rsidRPr="00E40F70">
        <w:rPr>
          <w:rFonts w:ascii="Arial" w:hAnsi="Arial" w:cs="Arial"/>
          <w:b/>
          <w:sz w:val="22"/>
          <w:szCs w:val="22"/>
          <w:lang w:val="en-US"/>
        </w:rPr>
        <w:t>Süsal C</w:t>
      </w:r>
      <w:r w:rsidRPr="00E40F70">
        <w:rPr>
          <w:rFonts w:ascii="Arial" w:hAnsi="Arial" w:cs="Arial"/>
          <w:sz w:val="22"/>
          <w:szCs w:val="22"/>
          <w:lang w:val="en-US"/>
        </w:rPr>
        <w:t xml:space="preserve">, Opelz G. Prevention of sensitization by transfusion with antibody-coated blood cells: specificity of suppression and transfer with serum or spleen cells. Transplant Proc 19:1414-1419, 1987 </w:t>
      </w:r>
    </w:p>
    <w:p w14:paraId="2F4AB634" w14:textId="77777777" w:rsidR="00616F9A" w:rsidRPr="00E40F70" w:rsidRDefault="00616F9A" w:rsidP="00616F9A">
      <w:pPr>
        <w:numPr>
          <w:ilvl w:val="0"/>
          <w:numId w:val="1"/>
        </w:numPr>
        <w:tabs>
          <w:tab w:val="left" w:pos="0"/>
          <w:tab w:val="left" w:pos="567"/>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Terness P, Opelz G. Induction of B-cell tolerance to alloantigens with IgG from syngeneic rats pretreated with antibody-coated allogeneic blood cells. Transplant Proc 19:4297-4299, 1987 </w:t>
      </w:r>
    </w:p>
    <w:p w14:paraId="603CB491" w14:textId="77777777" w:rsidR="00616F9A" w:rsidRPr="00E40F70" w:rsidRDefault="00616F9A" w:rsidP="00616F9A">
      <w:pPr>
        <w:numPr>
          <w:ilvl w:val="0"/>
          <w:numId w:val="1"/>
        </w:numPr>
        <w:tabs>
          <w:tab w:val="left" w:pos="567"/>
        </w:tabs>
        <w:spacing w:before="120" w:line="320" w:lineRule="exact"/>
        <w:rPr>
          <w:rFonts w:ascii="Arial" w:hAnsi="Arial" w:cs="Arial"/>
          <w:sz w:val="22"/>
          <w:szCs w:val="22"/>
          <w:lang w:val="en-US"/>
        </w:rPr>
      </w:pPr>
      <w:r w:rsidRPr="00E40F70">
        <w:rPr>
          <w:rFonts w:ascii="Arial" w:hAnsi="Arial" w:cs="Arial"/>
          <w:sz w:val="22"/>
          <w:szCs w:val="22"/>
          <w:lang w:val="en-US"/>
        </w:rPr>
        <w:t xml:space="preserve">Terness P, Schiffl R, </w:t>
      </w:r>
      <w:r w:rsidRPr="00E40F70">
        <w:rPr>
          <w:rFonts w:ascii="Arial" w:hAnsi="Arial" w:cs="Arial"/>
          <w:b/>
          <w:sz w:val="22"/>
          <w:szCs w:val="22"/>
          <w:lang w:val="en-US"/>
        </w:rPr>
        <w:t>Süsal C</w:t>
      </w:r>
      <w:r w:rsidRPr="00E40F70">
        <w:rPr>
          <w:rFonts w:ascii="Arial" w:hAnsi="Arial" w:cs="Arial"/>
          <w:sz w:val="22"/>
          <w:szCs w:val="22"/>
          <w:lang w:val="en-US"/>
        </w:rPr>
        <w:t xml:space="preserve">, Opelz G. Induction of a suppressive serum factor, prevention of sensitization, and prolongation of kidney graft survival in rats by transfusion with antibody-coated blood cells. Transplantation 46:812-819, 1988 </w:t>
      </w:r>
    </w:p>
    <w:p w14:paraId="13E80A0D" w14:textId="77777777" w:rsidR="00616F9A" w:rsidRPr="00E40F70" w:rsidRDefault="00616F9A" w:rsidP="00616F9A">
      <w:pPr>
        <w:numPr>
          <w:ilvl w:val="0"/>
          <w:numId w:val="1"/>
        </w:numPr>
        <w:spacing w:before="120" w:line="320" w:lineRule="exact"/>
        <w:rPr>
          <w:rFonts w:ascii="Arial" w:hAnsi="Arial" w:cs="Arial"/>
          <w:sz w:val="22"/>
          <w:szCs w:val="22"/>
          <w:lang w:val="en-US"/>
        </w:rPr>
      </w:pPr>
      <w:r w:rsidRPr="00E40F70">
        <w:rPr>
          <w:rFonts w:ascii="Arial" w:hAnsi="Arial" w:cs="Arial"/>
          <w:sz w:val="22"/>
          <w:szCs w:val="22"/>
          <w:lang w:val="en-US"/>
        </w:rPr>
        <w:t xml:space="preserve">Terness P, </w:t>
      </w:r>
      <w:r w:rsidRPr="00E40F70">
        <w:rPr>
          <w:rFonts w:ascii="Arial" w:hAnsi="Arial" w:cs="Arial"/>
          <w:b/>
          <w:sz w:val="22"/>
          <w:szCs w:val="22"/>
          <w:lang w:val="en-US"/>
        </w:rPr>
        <w:t>Süsal C</w:t>
      </w:r>
      <w:r w:rsidRPr="00E40F70">
        <w:rPr>
          <w:rFonts w:ascii="Arial" w:hAnsi="Arial" w:cs="Arial"/>
          <w:sz w:val="22"/>
          <w:szCs w:val="22"/>
          <w:lang w:val="en-US"/>
        </w:rPr>
        <w:t xml:space="preserve">, Opelz G. IgG-anti-immunoglobulin induced by immunization with antibody-coated cells: mechanism for B-cell suppression? Transplant Proc 21:153-155, 1989 </w:t>
      </w:r>
    </w:p>
    <w:p w14:paraId="47D6535D"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Guo Z, Terness P, Opelz G. Role of anti-IgG autoantibodies in kidney transplantation. Immunol Lett 26:121-125, 1990 </w:t>
      </w:r>
    </w:p>
    <w:p w14:paraId="0448EAEF"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Guo Z, Terness P, Padanyi, A, Petranyi G, Opelz G. Induction of anti-F(ab’)</w:t>
      </w:r>
      <w:r w:rsidRPr="00E40F70">
        <w:rPr>
          <w:rFonts w:ascii="Arial" w:hAnsi="Arial" w:cs="Arial"/>
          <w:sz w:val="22"/>
          <w:szCs w:val="22"/>
          <w:vertAlign w:val="subscript"/>
          <w:lang w:val="en-US"/>
        </w:rPr>
        <w:t>2</w:t>
      </w:r>
      <w:r w:rsidRPr="00E40F70">
        <w:rPr>
          <w:rFonts w:ascii="Arial" w:hAnsi="Arial" w:cs="Arial"/>
          <w:sz w:val="22"/>
          <w:szCs w:val="22"/>
          <w:vertAlign w:val="subscript"/>
          <w:lang w:val="en-US"/>
        </w:rPr>
        <w:sym w:font="Symbol" w:char="F067"/>
      </w:r>
      <w:r w:rsidRPr="00E40F70">
        <w:rPr>
          <w:rFonts w:ascii="Arial" w:hAnsi="Arial" w:cs="Arial"/>
          <w:sz w:val="22"/>
          <w:szCs w:val="22"/>
          <w:lang w:val="en-US"/>
        </w:rPr>
        <w:t xml:space="preserve"> antibodies by buffy coat transfusions and their effect in kidney trans</w:t>
      </w:r>
      <w:r>
        <w:rPr>
          <w:rFonts w:ascii="Arial" w:hAnsi="Arial" w:cs="Arial"/>
          <w:sz w:val="22"/>
          <w:szCs w:val="22"/>
          <w:lang w:val="en-US"/>
        </w:rPr>
        <w:t>plantation. Transplant Proc 22:</w:t>
      </w:r>
      <w:r w:rsidRPr="00E40F70">
        <w:rPr>
          <w:rFonts w:ascii="Arial" w:hAnsi="Arial" w:cs="Arial"/>
          <w:sz w:val="22"/>
          <w:szCs w:val="22"/>
          <w:lang w:val="en-US"/>
        </w:rPr>
        <w:t xml:space="preserve">1893-1984, 1990 </w:t>
      </w:r>
    </w:p>
    <w:p w14:paraId="7C69859F" w14:textId="77777777" w:rsidR="005767C8" w:rsidRDefault="00616F9A" w:rsidP="008E70E2">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Terness P</w:t>
      </w:r>
      <w:r w:rsidRPr="005767C8">
        <w:rPr>
          <w:rFonts w:ascii="Arial" w:hAnsi="Arial" w:cs="Arial"/>
          <w:b/>
          <w:sz w:val="22"/>
          <w:szCs w:val="22"/>
          <w:lang w:val="en-US"/>
        </w:rPr>
        <w:t>, Süsal C</w:t>
      </w:r>
      <w:r w:rsidRPr="005767C8">
        <w:rPr>
          <w:rFonts w:ascii="Arial" w:hAnsi="Arial" w:cs="Arial"/>
          <w:sz w:val="22"/>
          <w:szCs w:val="22"/>
          <w:lang w:val="en-US"/>
        </w:rPr>
        <w:t>, Guo Z, Opelz G. Fc-dependent suppression of “in vitro” B-cell response by IgG of alloimmunized rats. Transplant Proc 22:1957-1959, 1990</w:t>
      </w:r>
    </w:p>
    <w:p w14:paraId="77382ACE" w14:textId="77777777" w:rsidR="00616F9A" w:rsidRPr="005767C8" w:rsidRDefault="00616F9A" w:rsidP="008E70E2">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Terness P, </w:t>
      </w:r>
      <w:r w:rsidRPr="005767C8">
        <w:rPr>
          <w:rFonts w:ascii="Arial" w:hAnsi="Arial" w:cs="Arial"/>
          <w:b/>
          <w:sz w:val="22"/>
          <w:szCs w:val="22"/>
          <w:lang w:val="en-US"/>
        </w:rPr>
        <w:t>Süsal C</w:t>
      </w:r>
      <w:r w:rsidRPr="005767C8">
        <w:rPr>
          <w:rFonts w:ascii="Arial" w:hAnsi="Arial" w:cs="Arial"/>
          <w:sz w:val="22"/>
          <w:szCs w:val="22"/>
          <w:lang w:val="en-US"/>
        </w:rPr>
        <w:t xml:space="preserve">, Baur C, Opelz G. A B-cell-suppressive IgG-anti-immunoglobulin antibody induced by alloimmunization. Transplantation 50:502-505, 1990 </w:t>
      </w:r>
    </w:p>
    <w:p w14:paraId="40CF1F64"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Terness P, Opelz G. An experimental model for preventing alloimmunization against platelet transfusions by pretreatment with antibody-coated cells. Vox Sang 59:209-215, 1990 </w:t>
      </w:r>
    </w:p>
    <w:p w14:paraId="64F41139" w14:textId="77777777" w:rsidR="005767C8" w:rsidRDefault="00616F9A" w:rsidP="00BB7D30">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Terness P, Schiffl R, </w:t>
      </w:r>
      <w:r w:rsidRPr="005767C8">
        <w:rPr>
          <w:rFonts w:ascii="Arial" w:hAnsi="Arial" w:cs="Arial"/>
          <w:b/>
          <w:sz w:val="22"/>
          <w:szCs w:val="22"/>
          <w:lang w:val="en-US"/>
        </w:rPr>
        <w:t>Süsal C</w:t>
      </w:r>
      <w:r w:rsidRPr="005767C8">
        <w:rPr>
          <w:rFonts w:ascii="Arial" w:hAnsi="Arial" w:cs="Arial"/>
          <w:sz w:val="22"/>
          <w:szCs w:val="22"/>
          <w:lang w:val="en-US"/>
        </w:rPr>
        <w:t xml:space="preserve">, Guo Z, Opelz G. Long-lasting kidney graft survival after immunization with antibody-coated blood cells: mediation by immunosuppressive autoantibodies. Immunol Lett 26:139-144, 1990 </w:t>
      </w:r>
    </w:p>
    <w:p w14:paraId="0245A601" w14:textId="77777777" w:rsidR="00616F9A" w:rsidRPr="005767C8" w:rsidRDefault="00616F9A" w:rsidP="00BB7D30">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Daniel V, Oberg HH, Terness P, Huth-Kühne A, Zimmermann R, Opelz G. Striking inverse association of IgG-anti-Fab antibodies and CD4 cell counts in patients with AIDS/ARC. Blood 79:954-957, 1992 </w:t>
      </w:r>
    </w:p>
    <w:p w14:paraId="44FE363A" w14:textId="77777777" w:rsidR="005767C8" w:rsidRDefault="00616F9A" w:rsidP="00EA37D2">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Groth J, Oberg HH, Terness P, May G, Staehler G, Opelz G. Pretransplant serum IgG-anti-F(ab')</w:t>
      </w:r>
      <w:r w:rsidRPr="005767C8">
        <w:rPr>
          <w:rFonts w:ascii="Arial" w:hAnsi="Arial" w:cs="Arial"/>
          <w:sz w:val="22"/>
          <w:szCs w:val="22"/>
          <w:vertAlign w:val="subscript"/>
          <w:lang w:val="en-US"/>
        </w:rPr>
        <w:t>2</w:t>
      </w:r>
      <w:r w:rsidRPr="00E40F70">
        <w:rPr>
          <w:rFonts w:ascii="Arial" w:hAnsi="Arial" w:cs="Arial"/>
          <w:sz w:val="22"/>
          <w:szCs w:val="22"/>
          <w:vertAlign w:val="subscript"/>
          <w:lang w:val="en-US"/>
        </w:rPr>
        <w:sym w:font="Symbol" w:char="F067"/>
      </w:r>
      <w:r w:rsidRPr="005767C8">
        <w:rPr>
          <w:rFonts w:ascii="Arial" w:hAnsi="Arial" w:cs="Arial"/>
          <w:position w:val="-6"/>
          <w:sz w:val="22"/>
          <w:szCs w:val="22"/>
          <w:lang w:val="en-US"/>
        </w:rPr>
        <w:t xml:space="preserve"> </w:t>
      </w:r>
      <w:r w:rsidRPr="005767C8">
        <w:rPr>
          <w:rFonts w:ascii="Arial" w:hAnsi="Arial" w:cs="Arial"/>
          <w:sz w:val="22"/>
          <w:szCs w:val="22"/>
          <w:lang w:val="en-US"/>
        </w:rPr>
        <w:t xml:space="preserve">activity and kidney graft outcome: comparison of results obtained at two centers. Transpl Int 5:625-626, 1992 </w:t>
      </w:r>
    </w:p>
    <w:p w14:paraId="67731BF2" w14:textId="77777777" w:rsidR="00616F9A" w:rsidRPr="005767C8" w:rsidRDefault="00616F9A" w:rsidP="00EA37D2">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lastRenderedPageBreak/>
        <w:t xml:space="preserve">Terness P, </w:t>
      </w:r>
      <w:r w:rsidRPr="005767C8">
        <w:rPr>
          <w:rFonts w:ascii="Arial" w:hAnsi="Arial" w:cs="Arial"/>
          <w:b/>
          <w:sz w:val="22"/>
          <w:szCs w:val="22"/>
          <w:lang w:val="en-US"/>
        </w:rPr>
        <w:t>Süsal C</w:t>
      </w:r>
      <w:r w:rsidRPr="005767C8">
        <w:rPr>
          <w:rFonts w:ascii="Arial" w:hAnsi="Arial" w:cs="Arial"/>
          <w:sz w:val="22"/>
          <w:szCs w:val="22"/>
          <w:lang w:val="en-US"/>
        </w:rPr>
        <w:t xml:space="preserve">, Baur C, Opelz G. An immunoglobulin-specific autoantibody occurring during alloimmunization suppresses the antibody response. Transpl Int 5:559-560, 1992 </w:t>
      </w:r>
    </w:p>
    <w:p w14:paraId="460411B1" w14:textId="77777777" w:rsidR="005767C8" w:rsidRPr="005767C8" w:rsidRDefault="00616F9A" w:rsidP="006E26A6">
      <w:pPr>
        <w:numPr>
          <w:ilvl w:val="0"/>
          <w:numId w:val="1"/>
        </w:numPr>
        <w:tabs>
          <w:tab w:val="left" w:pos="0"/>
        </w:tabs>
        <w:spacing w:before="120" w:line="320" w:lineRule="exact"/>
        <w:rPr>
          <w:rStyle w:val="pages"/>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Lewin IV, Stanworth DR, Terness P, Daniel V, Oberg HH, Huth-Kühne A, Zimmermann R, Opelz G. Anti-IgG autoantibodies in HIV-infected hemophilia patients. Vox Sang 62:224-229, 1992 </w:t>
      </w:r>
    </w:p>
    <w:p w14:paraId="25279A08" w14:textId="77777777" w:rsidR="00616F9A" w:rsidRPr="005767C8" w:rsidRDefault="00616F9A" w:rsidP="006E26A6">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Groth J, Oberg HH, Terness P, May G, Opelz G. The association of kidney graft outcome with pretransplant serum IgG-anti-F(ab')</w:t>
      </w:r>
      <w:r w:rsidRPr="005767C8">
        <w:rPr>
          <w:rFonts w:ascii="Arial" w:hAnsi="Arial" w:cs="Arial"/>
          <w:sz w:val="22"/>
          <w:szCs w:val="22"/>
          <w:vertAlign w:val="subscript"/>
          <w:lang w:val="en-US"/>
        </w:rPr>
        <w:t>2</w:t>
      </w:r>
      <w:r w:rsidRPr="00E40F70">
        <w:rPr>
          <w:rFonts w:ascii="Arial" w:hAnsi="Arial" w:cs="Arial"/>
          <w:sz w:val="22"/>
          <w:szCs w:val="22"/>
          <w:vertAlign w:val="subscript"/>
          <w:lang w:val="en-US"/>
        </w:rPr>
        <w:sym w:font="Symbol" w:char="F067"/>
      </w:r>
      <w:r w:rsidRPr="005767C8">
        <w:rPr>
          <w:rFonts w:ascii="Arial" w:hAnsi="Arial" w:cs="Arial"/>
          <w:position w:val="-6"/>
          <w:sz w:val="22"/>
          <w:szCs w:val="22"/>
          <w:lang w:val="en-US"/>
        </w:rPr>
        <w:t xml:space="preserve"> </w:t>
      </w:r>
      <w:r w:rsidRPr="005767C8">
        <w:rPr>
          <w:rFonts w:ascii="Arial" w:hAnsi="Arial" w:cs="Arial"/>
          <w:sz w:val="22"/>
          <w:szCs w:val="22"/>
          <w:lang w:val="en-US"/>
        </w:rPr>
        <w:t xml:space="preserve">activity. Transplantation 54:632-635, 1992 </w:t>
      </w:r>
    </w:p>
    <w:p w14:paraId="7B4CD981"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Groth J, Tanzi-Fetta F, Kirste G, Dörr C, Terness P, May G, Stähler G, Opelz G. Characterization of protective anti-Fab autoantibodies in kidney graft recipients. Transplant Proc 24:2523-2526, 1992 </w:t>
      </w:r>
    </w:p>
    <w:p w14:paraId="4E411755" w14:textId="77777777" w:rsidR="005767C8" w:rsidRDefault="00616F9A" w:rsidP="007D5AA7">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Terness P, Thies JC, Koru T, Daniel V, Otto G, </w:t>
      </w:r>
      <w:r w:rsidRPr="005767C8">
        <w:rPr>
          <w:rFonts w:ascii="Arial" w:hAnsi="Arial" w:cs="Arial"/>
          <w:b/>
          <w:sz w:val="22"/>
          <w:szCs w:val="22"/>
          <w:lang w:val="en-US"/>
        </w:rPr>
        <w:t>Süsal C</w:t>
      </w:r>
      <w:r w:rsidRPr="005767C8">
        <w:rPr>
          <w:rFonts w:ascii="Arial" w:hAnsi="Arial" w:cs="Arial"/>
          <w:sz w:val="22"/>
          <w:szCs w:val="22"/>
          <w:lang w:val="en-US"/>
        </w:rPr>
        <w:t xml:space="preserve">, Opelz G. Prolongation of cardiac allograft survival in rats by immunization with antibody-coated blood cells: changes in the T-cell compartment. Transplant Proc 24:2562-2564, 1992 </w:t>
      </w:r>
    </w:p>
    <w:p w14:paraId="32290041" w14:textId="77777777" w:rsidR="00616F9A" w:rsidRPr="005767C8" w:rsidRDefault="00616F9A" w:rsidP="007D5AA7">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Terness P, </w:t>
      </w:r>
      <w:r w:rsidRPr="005767C8">
        <w:rPr>
          <w:rFonts w:ascii="Arial" w:hAnsi="Arial" w:cs="Arial"/>
          <w:b/>
          <w:sz w:val="22"/>
          <w:szCs w:val="22"/>
          <w:lang w:val="en-US"/>
        </w:rPr>
        <w:t>Süsal C</w:t>
      </w:r>
      <w:r w:rsidRPr="005767C8">
        <w:rPr>
          <w:rFonts w:ascii="Arial" w:hAnsi="Arial" w:cs="Arial"/>
          <w:sz w:val="22"/>
          <w:szCs w:val="22"/>
          <w:lang w:val="en-US"/>
        </w:rPr>
        <w:t xml:space="preserve">, Opelz G. Restriction mechanisms of B cell regulation by a physiological IgG-anti-immunoglobulin autoantibody. Immunobiol 185:303-313, 1992 </w:t>
      </w:r>
    </w:p>
    <w:p w14:paraId="69FB986D" w14:textId="77777777" w:rsidR="005767C8" w:rsidRPr="005767C8" w:rsidRDefault="00616F9A" w:rsidP="00DA36BA">
      <w:pPr>
        <w:numPr>
          <w:ilvl w:val="0"/>
          <w:numId w:val="1"/>
        </w:numPr>
        <w:tabs>
          <w:tab w:val="left" w:pos="0"/>
        </w:tabs>
        <w:spacing w:before="120" w:line="320" w:lineRule="exact"/>
        <w:rPr>
          <w:rStyle w:val="pages"/>
          <w:rFonts w:ascii="Arial" w:hAnsi="Arial" w:cs="Arial"/>
          <w:sz w:val="22"/>
          <w:szCs w:val="22"/>
          <w:lang w:val="en-US"/>
        </w:rPr>
      </w:pPr>
      <w:r w:rsidRPr="005767C8">
        <w:rPr>
          <w:rFonts w:ascii="Arial" w:hAnsi="Arial" w:cs="Arial"/>
          <w:sz w:val="22"/>
          <w:szCs w:val="22"/>
          <w:lang w:val="en-US"/>
        </w:rPr>
        <w:t xml:space="preserve">Terness P, Berteli A, </w:t>
      </w:r>
      <w:r w:rsidRPr="005767C8">
        <w:rPr>
          <w:rFonts w:ascii="Arial" w:hAnsi="Arial" w:cs="Arial"/>
          <w:b/>
          <w:sz w:val="22"/>
          <w:szCs w:val="22"/>
          <w:lang w:val="en-US"/>
        </w:rPr>
        <w:t>Süsal C</w:t>
      </w:r>
      <w:r w:rsidRPr="005767C8">
        <w:rPr>
          <w:rFonts w:ascii="Arial" w:hAnsi="Arial" w:cs="Arial"/>
          <w:sz w:val="22"/>
          <w:szCs w:val="22"/>
          <w:lang w:val="en-US"/>
        </w:rPr>
        <w:t xml:space="preserve">, Opelz G. Regulation of antibody response by an IgG-anti-Ig autoantibody occurring during alloimmunization. II. Selective inactivation of antigen receptor-occupied B cells. Transplantation 54:92-96, 1992 </w:t>
      </w:r>
      <w:r w:rsidRPr="005767C8">
        <w:rPr>
          <w:rStyle w:val="pages"/>
          <w:rFonts w:ascii="Arial" w:hAnsi="Arial" w:cs="Arial"/>
          <w:b/>
          <w:sz w:val="22"/>
          <w:szCs w:val="22"/>
          <w:lang w:val="en-US"/>
        </w:rPr>
        <w:t>(</w:t>
      </w:r>
    </w:p>
    <w:p w14:paraId="74136D21" w14:textId="77777777" w:rsidR="00616F9A" w:rsidRPr="005767C8" w:rsidRDefault="00616F9A" w:rsidP="00DA36BA">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Daniel V, </w:t>
      </w:r>
      <w:r w:rsidRPr="005767C8">
        <w:rPr>
          <w:rFonts w:ascii="Arial" w:hAnsi="Arial" w:cs="Arial"/>
          <w:b/>
          <w:sz w:val="22"/>
          <w:szCs w:val="22"/>
          <w:lang w:val="en-US"/>
        </w:rPr>
        <w:t>Süsal C</w:t>
      </w:r>
      <w:r w:rsidRPr="005767C8">
        <w:rPr>
          <w:rFonts w:ascii="Arial" w:hAnsi="Arial" w:cs="Arial"/>
          <w:sz w:val="22"/>
          <w:szCs w:val="22"/>
          <w:lang w:val="en-US"/>
        </w:rPr>
        <w:t xml:space="preserve">, Prodeus AP, Weimer R, Zimmermann R, Huth-Kühne A, Opelz G. CD4+ lymphocyte depletion in HIV infected patients is associated with gp120-immunoglobulin-complement attachment to CD4+ cells. Vox Sang 64:31-36, 1992 </w:t>
      </w:r>
    </w:p>
    <w:p w14:paraId="284E7B88" w14:textId="77777777" w:rsidR="005767C8" w:rsidRDefault="00616F9A" w:rsidP="00636E9E">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Kröpelin M, Daniel V, Opelz G. Molecular mimicry between HIV-1 and antigen-receptor molecules: a clue to the pathogenesis of AIDS. Vox Sang 65:10-17, 1993 </w:t>
      </w:r>
    </w:p>
    <w:p w14:paraId="65E5E3A6" w14:textId="77777777" w:rsidR="00616F9A" w:rsidRPr="005767C8" w:rsidRDefault="00616F9A" w:rsidP="00636E9E">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sz w:val="22"/>
          <w:szCs w:val="22"/>
          <w:lang w:val="en-US"/>
        </w:rPr>
        <w:t xml:space="preserve">Daniel V, </w:t>
      </w:r>
      <w:r w:rsidRPr="005767C8">
        <w:rPr>
          <w:rFonts w:ascii="Arial" w:hAnsi="Arial" w:cs="Arial"/>
          <w:b/>
          <w:sz w:val="22"/>
          <w:szCs w:val="22"/>
          <w:lang w:val="en-US"/>
        </w:rPr>
        <w:t>Süsal C</w:t>
      </w:r>
      <w:r w:rsidRPr="005767C8">
        <w:rPr>
          <w:rFonts w:ascii="Arial" w:hAnsi="Arial" w:cs="Arial"/>
          <w:sz w:val="22"/>
          <w:szCs w:val="22"/>
          <w:lang w:val="en-US"/>
        </w:rPr>
        <w:t xml:space="preserve">, Weimer R, Zimmermann R, Huth-Kühne A, Opelz G. Association of T cell and macrophage dysfunction with surface gp120-immunoglobulin-complement complexes in HIV-infected patients. Clin Exp Immunol 93:152-156, 1993 </w:t>
      </w:r>
    </w:p>
    <w:p w14:paraId="3F5B4FF1"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Daniel V, Doerr C, Zimmermann R, Huth-Kühne A, Opelz G. IgA-anti-Fab autoantibodies and disease progression in AIDS. Immunol Lett 36:27-30, 1993 </w:t>
      </w:r>
    </w:p>
    <w:p w14:paraId="2D1694F6"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Hoffmann GW, Daniel V, Grant M, Opelz G. Complementarities and network interactions in AIDS. J Autoimmun 6:601-610, 1993 </w:t>
      </w:r>
    </w:p>
    <w:p w14:paraId="565D74FC"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Oberg HH, Daniel V, Doerr C, Terness P, Huth-Kühne A, Zimmermann R, Opelz G. Isotypes and IgG-subclasses of anti-Fab antibodies in human immunodeficiency virus-infected hemophilia patients. Vox Sang 66:37-45, 1994 </w:t>
      </w:r>
    </w:p>
    <w:p w14:paraId="5A5DDCA9"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lastRenderedPageBreak/>
        <w:t>Süsal C</w:t>
      </w:r>
      <w:r w:rsidRPr="00E40F70">
        <w:rPr>
          <w:rFonts w:ascii="Arial" w:hAnsi="Arial" w:cs="Arial"/>
          <w:sz w:val="22"/>
          <w:szCs w:val="22"/>
          <w:lang w:val="en-US"/>
        </w:rPr>
        <w:t>, Maier H, Lorenz K, Opelz G. Association of IgA-anti-Fab autoantibodies with disease stage in patients with head and neck cancer. Proc XV World Congr ORL, Head Neck Surg 3:1106-1109, 1994</w:t>
      </w:r>
    </w:p>
    <w:p w14:paraId="5DE71590" w14:textId="77777777" w:rsidR="005767C8" w:rsidRDefault="00616F9A" w:rsidP="001212DA">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Maier H, Lorenz K, Opelz G. Association of disease stage in head and neck cancer with IgA-anti-Fab autoantibodies. Int J Cancer 57:47-50, 1994 </w:t>
      </w:r>
    </w:p>
    <w:p w14:paraId="05330ACF" w14:textId="77777777" w:rsidR="00616F9A" w:rsidRPr="005767C8" w:rsidRDefault="00616F9A" w:rsidP="001212DA">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Dörr C, Groth J, May G, Opelz G. Pretransplant serum IgA concentration and IgA-anti-Fab autoantibody activity as prognostic indicators of kidney graft survival. Transpl Int 7:586-589, 1994 </w:t>
      </w:r>
    </w:p>
    <w:p w14:paraId="12326458"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Kirschfink M, Kröpelin M, Daniel V, Opelz G. Complement activation by recombinant HIV-1 glycoprotein gp120. J Immunol 152:6028-6034, 1994 </w:t>
      </w:r>
    </w:p>
    <w:p w14:paraId="32403FD6" w14:textId="77777777" w:rsidR="00616F9A" w:rsidRPr="00E40F70" w:rsidRDefault="00616F9A" w:rsidP="00616F9A">
      <w:pPr>
        <w:numPr>
          <w:ilvl w:val="0"/>
          <w:numId w:val="1"/>
        </w:numPr>
        <w:tabs>
          <w:tab w:val="left" w:pos="0"/>
        </w:tabs>
        <w:spacing w:before="120" w:line="320" w:lineRule="exact"/>
        <w:ind w:right="-369"/>
        <w:rPr>
          <w:rFonts w:ascii="Arial" w:hAnsi="Arial" w:cs="Arial"/>
          <w:sz w:val="22"/>
          <w:szCs w:val="22"/>
          <w:lang w:val="en-US"/>
        </w:rPr>
      </w:pPr>
      <w:r w:rsidRPr="00E40F70">
        <w:rPr>
          <w:rFonts w:ascii="Arial" w:hAnsi="Arial" w:cs="Arial"/>
          <w:sz w:val="22"/>
          <w:szCs w:val="22"/>
          <w:lang w:val="en-US"/>
        </w:rPr>
        <w:t xml:space="preserve">Toth FD, </w:t>
      </w:r>
      <w:r w:rsidRPr="00E40F70">
        <w:rPr>
          <w:rFonts w:ascii="Arial" w:hAnsi="Arial" w:cs="Arial"/>
          <w:b/>
          <w:sz w:val="22"/>
          <w:szCs w:val="22"/>
          <w:lang w:val="en-US"/>
        </w:rPr>
        <w:t>Süsal C</w:t>
      </w:r>
      <w:r w:rsidRPr="00E40F70">
        <w:rPr>
          <w:rFonts w:ascii="Arial" w:hAnsi="Arial" w:cs="Arial"/>
          <w:sz w:val="22"/>
          <w:szCs w:val="22"/>
          <w:lang w:val="en-US"/>
        </w:rPr>
        <w:t xml:space="preserve">, Ujhelyi E, Banhegyi D, Kiss J, Daniel V, Nagy I, Opelz G, Füst G. Comparative study of antibodies that are associated with disease progression in HIV-disease. Immunol Lett 41:33-36, 1994 </w:t>
      </w:r>
    </w:p>
    <w:p w14:paraId="65DDD399"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Prohaska Z, Hidvegi T, Ujhelyi E, Stoiber H, Dierich MP, </w:t>
      </w:r>
      <w:r w:rsidRPr="00E40F70">
        <w:rPr>
          <w:rFonts w:ascii="Arial" w:hAnsi="Arial" w:cs="Arial"/>
          <w:b/>
          <w:sz w:val="22"/>
          <w:szCs w:val="22"/>
          <w:lang w:val="en-US"/>
        </w:rPr>
        <w:t>Süsal C</w:t>
      </w:r>
      <w:r w:rsidRPr="00E40F70">
        <w:rPr>
          <w:rFonts w:ascii="Arial" w:hAnsi="Arial" w:cs="Arial"/>
          <w:sz w:val="22"/>
          <w:szCs w:val="22"/>
          <w:lang w:val="en-US"/>
        </w:rPr>
        <w:t xml:space="preserve">, Füst G. Interaction of complement and specific antibodies with the external glycoprotein 120 of HIV-1. Immunology 85:184-189, 1994 </w:t>
      </w:r>
    </w:p>
    <w:p w14:paraId="0A0B9324"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Wiesel M, Staehler G, Groth J, May G, Opelz G. Excellent kidney graft survival in patients with high pretransplant serum IgA concentrations and IgA-anti-Fab autoantibody activity. Transplant Proc 27:1072-1074, 1995 </w:t>
      </w:r>
    </w:p>
    <w:p w14:paraId="79187789"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Kröpelin M, Wiesel M, Staehler G, Groth J, May G, Opelz G. Pretransplant IgA-anti-hinge and IgA-anti-Fab autoantibody activity is associated with good kidney graft survival. Transplant Proc 27:2663-2665, 1995 </w:t>
      </w:r>
    </w:p>
    <w:p w14:paraId="3AAEAA19"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Weimer R, Zipperle S, Kröpelin M, Zimmermann R, Huth-Kühne A, Opelz G. Sequential occurrence of IgM, IgM/IgG, and gp120-IgM/IgG-complement complexes on CD4+ lymphocytes in relation to CD4+ blood lymphocyte depletion in HIV+ hemophilia patients: results of a 10-year study. Immunol Lett 47:97-102, 1995 </w:t>
      </w:r>
    </w:p>
    <w:p w14:paraId="59C04724"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Weimer R, Zipperle S, Kröpelin M, Zimmermann R, Huth-Kühne A, Gerhard I, Maier H, Opelz G. CD8+ lymphocyte decrease in HIV disease: association with anti-CD4+ but not with anti-CD8+ lymphocyte autoantibodies. Vox Sang 70:86-91, 1996 </w:t>
      </w:r>
    </w:p>
    <w:p w14:paraId="4076038C"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Weimer R, Zipperle S, Kröpelin M, Zimmermann R, Huth-Kühne A, Opelz G. Association of T-cell dysfunction with the presence of IgG autoantibodies on CD4+ lymphocytes in hemophilia patients: results of a 10-year study. Clin Exp Immunol 104:4-10, 1996 </w:t>
      </w:r>
    </w:p>
    <w:p w14:paraId="0A72F90A" w14:textId="77777777" w:rsidR="005767C8" w:rsidRDefault="00616F9A" w:rsidP="0048076F">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t>Süsal C</w:t>
      </w:r>
      <w:r w:rsidRPr="005767C8">
        <w:rPr>
          <w:rFonts w:ascii="Arial" w:hAnsi="Arial" w:cs="Arial"/>
          <w:sz w:val="22"/>
          <w:szCs w:val="22"/>
          <w:lang w:val="en-US"/>
        </w:rPr>
        <w:t xml:space="preserve">, Kirschfink M, Kröpelin M, Daniel V, Opelz G. Identification of complement activation sites in the HIV-1 glycoprotein gp120. Blood 87:2329-2336, </w:t>
      </w:r>
    </w:p>
    <w:p w14:paraId="77C8ACAD" w14:textId="77777777" w:rsidR="00616F9A" w:rsidRPr="005767C8" w:rsidRDefault="00616F9A" w:rsidP="0048076F">
      <w:pPr>
        <w:numPr>
          <w:ilvl w:val="0"/>
          <w:numId w:val="1"/>
        </w:numPr>
        <w:tabs>
          <w:tab w:val="left" w:pos="0"/>
        </w:tabs>
        <w:spacing w:before="120" w:line="320" w:lineRule="exact"/>
        <w:rPr>
          <w:rFonts w:ascii="Arial" w:hAnsi="Arial" w:cs="Arial"/>
          <w:sz w:val="22"/>
          <w:szCs w:val="22"/>
          <w:lang w:val="en-US"/>
        </w:rPr>
      </w:pPr>
      <w:r w:rsidRPr="005767C8">
        <w:rPr>
          <w:rFonts w:ascii="Arial" w:hAnsi="Arial" w:cs="Arial"/>
          <w:b/>
          <w:sz w:val="22"/>
          <w:szCs w:val="22"/>
          <w:lang w:val="en-US"/>
        </w:rPr>
        <w:lastRenderedPageBreak/>
        <w:t>Süsal C</w:t>
      </w:r>
      <w:r w:rsidRPr="005767C8">
        <w:rPr>
          <w:rFonts w:ascii="Arial" w:hAnsi="Arial" w:cs="Arial"/>
          <w:sz w:val="22"/>
          <w:szCs w:val="22"/>
          <w:lang w:val="en-US"/>
        </w:rPr>
        <w:t xml:space="preserve">, Kröpelin M, Groth J, Wiesel M, May G, Carl S, Staehler G, Opelz G. Protective effect of autoantibodies against the hinge region of human IgG in kidney graft recipients. Transplantation 62:1534-1536, 1996 </w:t>
      </w:r>
    </w:p>
    <w:p w14:paraId="689563F4"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Lorenz KJ, </w:t>
      </w:r>
      <w:r w:rsidRPr="00E40F70">
        <w:rPr>
          <w:rFonts w:ascii="Arial" w:hAnsi="Arial" w:cs="Arial"/>
          <w:b/>
          <w:sz w:val="22"/>
          <w:szCs w:val="22"/>
          <w:lang w:val="en-US"/>
        </w:rPr>
        <w:t>Süsal C</w:t>
      </w:r>
      <w:r w:rsidRPr="00E40F70">
        <w:rPr>
          <w:rFonts w:ascii="Arial" w:hAnsi="Arial" w:cs="Arial"/>
          <w:sz w:val="22"/>
          <w:szCs w:val="22"/>
          <w:lang w:val="en-US"/>
        </w:rPr>
        <w:t xml:space="preserve">, Opelz G, Maier H. Illness stage and IgA-anti-Fab/F(ab’)2 autoantibody activity in serum of patients with malignant head-neck tumors. Laryngorhinootologie 75:764-768, 1996 </w:t>
      </w:r>
    </w:p>
    <w:p w14:paraId="46287243"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Wiesel M, Schönemann C, Groth J, Carl S, Staehler G, May G, Opelz G. Presensitization and HLA match influence the predictive power of pretransplant serum IgA and IgA-anti-Fab autoantibodies in kidney graft recipients. Transplant Proc 29:1444-1446, 1997 </w:t>
      </w:r>
    </w:p>
    <w:p w14:paraId="18B46064"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Kissler S, </w:t>
      </w:r>
      <w:r w:rsidRPr="00E40F70">
        <w:rPr>
          <w:rFonts w:ascii="Arial" w:hAnsi="Arial" w:cs="Arial"/>
          <w:b/>
          <w:sz w:val="22"/>
          <w:szCs w:val="22"/>
          <w:lang w:val="en-US"/>
        </w:rPr>
        <w:t>Süsal C</w:t>
      </w:r>
      <w:r w:rsidRPr="00E40F70">
        <w:rPr>
          <w:rFonts w:ascii="Arial" w:hAnsi="Arial" w:cs="Arial"/>
          <w:sz w:val="22"/>
          <w:szCs w:val="22"/>
          <w:lang w:val="en-US"/>
        </w:rPr>
        <w:t xml:space="preserve">, Opelz G. Anti-MIP-1alpha and anti-RANTES antibodies: new allies of HIV-1? Clinical Immunol Immunpathol 84:338-341, 1997 </w:t>
      </w:r>
    </w:p>
    <w:p w14:paraId="5AE28CF5"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Lorenz KJ, </w:t>
      </w:r>
      <w:r w:rsidRPr="00E40F70">
        <w:rPr>
          <w:rFonts w:ascii="Arial" w:hAnsi="Arial" w:cs="Arial"/>
          <w:b/>
          <w:sz w:val="22"/>
          <w:szCs w:val="22"/>
          <w:lang w:val="en-US"/>
        </w:rPr>
        <w:t>Süsal C</w:t>
      </w:r>
      <w:r w:rsidRPr="00E40F70">
        <w:rPr>
          <w:rFonts w:ascii="Arial" w:hAnsi="Arial" w:cs="Arial"/>
          <w:sz w:val="22"/>
          <w:szCs w:val="22"/>
          <w:lang w:val="en-US"/>
        </w:rPr>
        <w:t xml:space="preserve">, Opelz G, Maier H. Relationship between progression of disease and immunoglobulin A-anti-Fab-/F(ab’)2 autoantibodies in patients with head and neck cancer. Otolaryngol Head Neck Surg 118:130-136, 1998 </w:t>
      </w:r>
    </w:p>
    <w:p w14:paraId="4046686C" w14:textId="77777777" w:rsidR="00616F9A" w:rsidRPr="00E40F70" w:rsidRDefault="00616F9A" w:rsidP="00616F9A">
      <w:pPr>
        <w:numPr>
          <w:ilvl w:val="0"/>
          <w:numId w:val="1"/>
        </w:numPr>
        <w:tabs>
          <w:tab w:val="left" w:pos="0"/>
        </w:tabs>
        <w:spacing w:before="120" w:line="320" w:lineRule="exact"/>
        <w:ind w:right="-86"/>
        <w:rPr>
          <w:rFonts w:ascii="Arial" w:hAnsi="Arial" w:cs="Arial"/>
          <w:sz w:val="22"/>
          <w:szCs w:val="22"/>
          <w:lang w:val="en-US"/>
        </w:rPr>
      </w:pPr>
      <w:r w:rsidRPr="00E40F70">
        <w:rPr>
          <w:rFonts w:ascii="Arial" w:hAnsi="Arial" w:cs="Arial"/>
          <w:sz w:val="22"/>
          <w:szCs w:val="22"/>
          <w:lang w:val="en-US"/>
        </w:rPr>
        <w:t xml:space="preserve">Pfeiffer KA, Sillem M, Daniel V, Kirschfink M, </w:t>
      </w:r>
      <w:r w:rsidRPr="00E40F70">
        <w:rPr>
          <w:rFonts w:ascii="Arial" w:hAnsi="Arial" w:cs="Arial"/>
          <w:b/>
          <w:sz w:val="22"/>
          <w:szCs w:val="22"/>
          <w:lang w:val="en-US"/>
        </w:rPr>
        <w:t>Süsal C</w:t>
      </w:r>
      <w:r w:rsidRPr="00E40F70">
        <w:rPr>
          <w:rFonts w:ascii="Arial" w:hAnsi="Arial" w:cs="Arial"/>
          <w:sz w:val="22"/>
          <w:szCs w:val="22"/>
          <w:lang w:val="en-US"/>
        </w:rPr>
        <w:t xml:space="preserve">, Runnebaum B, Gerhard I. Activated autologous blood therapy in recurrent spontaneous abortion: results of a pilot study. Hum Reproduction 13:491-497, 1998 </w:t>
      </w:r>
    </w:p>
    <w:p w14:paraId="6820D3C5"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Weimer R, Zipperle S, Kröpelin M, Melk A, Zimmermann R, Huth-Kühne A, Opelz G. Association of viral load in plasma samples of HIV-infected hemophilia patients with autoantibodies and gp120-containing immune complexes on CD4+ lymphocytes. Immunol Lett 60:179-187, 1998 </w:t>
      </w:r>
    </w:p>
    <w:p w14:paraId="4E6912EB"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Kröpelin M, </w:t>
      </w:r>
      <w:r w:rsidRPr="00E40F70">
        <w:rPr>
          <w:rFonts w:ascii="Arial" w:hAnsi="Arial" w:cs="Arial"/>
          <w:b/>
          <w:sz w:val="22"/>
          <w:szCs w:val="22"/>
          <w:lang w:val="en-US"/>
        </w:rPr>
        <w:t>Süsal C</w:t>
      </w:r>
      <w:r w:rsidRPr="00E40F70">
        <w:rPr>
          <w:rFonts w:ascii="Arial" w:hAnsi="Arial" w:cs="Arial"/>
          <w:sz w:val="22"/>
          <w:szCs w:val="22"/>
          <w:lang w:val="en-US"/>
        </w:rPr>
        <w:t xml:space="preserve">, Daniel V, Opelz G. Inhibition of HIV-1 rgp120 binding to CD4+ T cells by monoclonal antibodies directed against the gp120 C1 or C4 region. Immunol Lett 63:19-25, 1998 </w:t>
      </w:r>
    </w:p>
    <w:p w14:paraId="30079FDB"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Prohaszka Z, Daha MR, </w:t>
      </w:r>
      <w:r w:rsidRPr="00E40F70">
        <w:rPr>
          <w:rFonts w:ascii="Arial" w:hAnsi="Arial" w:cs="Arial"/>
          <w:b/>
          <w:sz w:val="22"/>
          <w:szCs w:val="22"/>
          <w:lang w:val="en-US"/>
        </w:rPr>
        <w:t>Süsal C</w:t>
      </w:r>
      <w:r w:rsidRPr="00E40F70">
        <w:rPr>
          <w:rFonts w:ascii="Arial" w:hAnsi="Arial" w:cs="Arial"/>
          <w:sz w:val="22"/>
          <w:szCs w:val="22"/>
          <w:lang w:val="en-US"/>
        </w:rPr>
        <w:t xml:space="preserve">, Daniel V, Szlavik J, Banhegyi D, Nagy K, Varkonyi V, Horvath A, Ujhelyi E, Toth FD, Uray K, Hudecz F, Füst G. C1q autoantibodies in HIV infection: correlation to elevated levels of autoantibodies against 60-kDa heat-shock proteins. Clin Immunol 90:247-255, 1999 </w:t>
      </w:r>
    </w:p>
    <w:p w14:paraId="2F8C7046"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Doran TJ, </w:t>
      </w:r>
      <w:r w:rsidRPr="00E40F70">
        <w:rPr>
          <w:rFonts w:ascii="Arial" w:hAnsi="Arial" w:cs="Arial"/>
          <w:b/>
          <w:sz w:val="22"/>
          <w:szCs w:val="22"/>
          <w:lang w:val="en-US"/>
        </w:rPr>
        <w:t>Süsal C</w:t>
      </w:r>
      <w:r w:rsidRPr="00E40F70">
        <w:rPr>
          <w:rFonts w:ascii="Arial" w:hAnsi="Arial" w:cs="Arial"/>
          <w:sz w:val="22"/>
          <w:szCs w:val="22"/>
          <w:lang w:val="en-US"/>
        </w:rPr>
        <w:t xml:space="preserve">, Opelz G, Geczy AF. IgA class antibodies and flow cytometric crossmatching in renal transplantation. Transplantation 67:309-314, 1999 </w:t>
      </w:r>
    </w:p>
    <w:p w14:paraId="39BBED7E"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Marchalonis JJ, Garza A, Lake DF, Landsperger WJ, </w:t>
      </w:r>
      <w:r w:rsidRPr="00E40F70">
        <w:rPr>
          <w:rFonts w:ascii="Arial" w:hAnsi="Arial" w:cs="Arial"/>
          <w:b/>
          <w:sz w:val="22"/>
          <w:szCs w:val="22"/>
          <w:lang w:val="en-US"/>
        </w:rPr>
        <w:t>Süsal C</w:t>
      </w:r>
      <w:r w:rsidRPr="00E40F70">
        <w:rPr>
          <w:rFonts w:ascii="Arial" w:hAnsi="Arial" w:cs="Arial"/>
          <w:sz w:val="22"/>
          <w:szCs w:val="22"/>
          <w:lang w:val="en-US"/>
        </w:rPr>
        <w:t xml:space="preserve">. Recognition of defined epitopes by affinity-purified anti-immunoglobulin Fab autoantibodies isolated from HIV-infected humans. J Mol Recognition 12:169-176, 1999 </w:t>
      </w:r>
    </w:p>
    <w:p w14:paraId="7992E039"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Melk A, </w:t>
      </w:r>
      <w:r w:rsidRPr="00E40F70">
        <w:rPr>
          <w:rFonts w:ascii="Arial" w:hAnsi="Arial" w:cs="Arial"/>
          <w:b/>
          <w:sz w:val="22"/>
          <w:szCs w:val="22"/>
          <w:lang w:val="en-US"/>
        </w:rPr>
        <w:t>Süsal C</w:t>
      </w:r>
      <w:r w:rsidRPr="00E40F70">
        <w:rPr>
          <w:rFonts w:ascii="Arial" w:hAnsi="Arial" w:cs="Arial"/>
          <w:sz w:val="22"/>
          <w:szCs w:val="22"/>
          <w:lang w:val="en-US"/>
        </w:rPr>
        <w:t xml:space="preserve">, Weimer R, Zimmermann R, Huth-Kühne A, Opelz G. CD4-depletion in HIV-infected haemophilia patients is associated with rapid clearance of immune complex-coated CD4+ lymphocytes. Clin Exp Immunol 115:477-484, 1999 </w:t>
      </w:r>
    </w:p>
    <w:p w14:paraId="12B0E8AA"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lastRenderedPageBreak/>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Melk A, Weimer R, Kröpelin M, Zimmermann R, Huth-Kühne A, Uhle C, Opelz G. Reduction of viral load and immune complex load on CD4+ lymphocytes as a consequence of highly active antiretroviral treatment (HAART) in HIV-infected hemophilia patients. Immunol Lett 69:283-289, 1999 </w:t>
      </w:r>
    </w:p>
    <w:p w14:paraId="27DA8246"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Kaioumova D, Kaioumov F, </w:t>
      </w:r>
      <w:r w:rsidRPr="00E40F70">
        <w:rPr>
          <w:rFonts w:ascii="Arial" w:hAnsi="Arial" w:cs="Arial"/>
          <w:b/>
          <w:sz w:val="22"/>
          <w:szCs w:val="22"/>
          <w:lang w:val="en-US"/>
        </w:rPr>
        <w:t>Süsal C</w:t>
      </w:r>
      <w:r w:rsidRPr="00E40F70">
        <w:rPr>
          <w:rFonts w:ascii="Arial" w:hAnsi="Arial" w:cs="Arial"/>
          <w:sz w:val="22"/>
          <w:szCs w:val="22"/>
          <w:lang w:val="en-US"/>
        </w:rPr>
        <w:t>. Toxicity of dimethylammonium salt of 2,4-dichlorophenoxyacetic acid in rats after oral administration. Organohalogen Compounds 42:333-336, 1999</w:t>
      </w:r>
    </w:p>
    <w:p w14:paraId="04C479F8"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Döhler B, Opelz G. Graft-protective role of high pretransplantation IgA-anti-Fab autoantibodies: confirmatory evidence obtained in more than 4000 kidney transplants. Transplantation 69:1337-1340, 2000 </w:t>
      </w:r>
    </w:p>
    <w:p w14:paraId="0087DDF6"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Doran TJ, Geczy AF, Painter D, McCaughan G, Sheil AG, </w:t>
      </w:r>
      <w:r w:rsidRPr="00E40F70">
        <w:rPr>
          <w:rFonts w:ascii="Arial" w:hAnsi="Arial" w:cs="Arial"/>
          <w:b/>
          <w:sz w:val="22"/>
          <w:szCs w:val="22"/>
          <w:lang w:val="en-US"/>
        </w:rPr>
        <w:t>Süsal C</w:t>
      </w:r>
      <w:r w:rsidRPr="00E40F70">
        <w:rPr>
          <w:rFonts w:ascii="Arial" w:hAnsi="Arial" w:cs="Arial"/>
          <w:sz w:val="22"/>
          <w:szCs w:val="22"/>
          <w:lang w:val="en-US"/>
        </w:rPr>
        <w:t xml:space="preserve">, Opelz G.A large, single center investigation of the immunogenetic factors affecting liver transplantation. </w:t>
      </w:r>
      <w:r w:rsidRPr="00E40F70">
        <w:rPr>
          <w:rStyle w:val="Emphasis"/>
          <w:rFonts w:ascii="Arial" w:hAnsi="Arial" w:cs="Arial"/>
          <w:i w:val="0"/>
          <w:sz w:val="22"/>
          <w:szCs w:val="22"/>
          <w:lang w:val="en-US"/>
        </w:rPr>
        <w:t>Transplantation</w:t>
      </w:r>
      <w:r w:rsidRPr="00E40F70">
        <w:rPr>
          <w:rFonts w:ascii="Arial" w:hAnsi="Arial" w:cs="Arial"/>
          <w:sz w:val="22"/>
          <w:szCs w:val="22"/>
          <w:lang w:val="en-US"/>
        </w:rPr>
        <w:t xml:space="preserve"> 69:1491-1498, 2000 </w:t>
      </w:r>
    </w:p>
    <w:p w14:paraId="775AE90D"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Kaioumova D, </w:t>
      </w:r>
      <w:r w:rsidRPr="00E40F70">
        <w:rPr>
          <w:rFonts w:ascii="Arial" w:hAnsi="Arial" w:cs="Arial"/>
          <w:b/>
          <w:sz w:val="22"/>
          <w:szCs w:val="22"/>
          <w:lang w:val="en-US"/>
        </w:rPr>
        <w:t>Süsal C</w:t>
      </w:r>
      <w:r w:rsidRPr="00E40F70">
        <w:rPr>
          <w:rFonts w:ascii="Arial" w:hAnsi="Arial" w:cs="Arial"/>
          <w:sz w:val="22"/>
          <w:szCs w:val="22"/>
          <w:lang w:val="en-US"/>
        </w:rPr>
        <w:t xml:space="preserve">, Opelz G. Induction of apoptosis in human lymphocytes by the herbicide 2,4-dichlorophenoxyacetic acid. Hum Immunol 62:64-74, 2001 </w:t>
      </w:r>
    </w:p>
    <w:p w14:paraId="75AB8AE3"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Weimer R, Zimmermann R, Huth-Kühne A, Opelz G. I</w:t>
      </w:r>
      <w:r w:rsidRPr="00E40F70">
        <w:rPr>
          <w:rFonts w:ascii="Arial" w:hAnsi="Arial" w:cs="Arial"/>
          <w:snapToGrid w:val="0"/>
          <w:sz w:val="22"/>
          <w:szCs w:val="22"/>
          <w:lang w:val="en-US"/>
        </w:rPr>
        <w:t xml:space="preserve">ncreased soluble Fas in HIV-infected hemophilia patients with CD4+ and CD8+ cell count increases and viral load and immune complex decreases. </w:t>
      </w:r>
      <w:r w:rsidRPr="00E40F70">
        <w:rPr>
          <w:rFonts w:ascii="Arial" w:hAnsi="Arial" w:cs="Arial"/>
          <w:sz w:val="22"/>
          <w:szCs w:val="22"/>
          <w:lang w:val="en-US"/>
        </w:rPr>
        <w:t xml:space="preserve">AIDS Res Hum Retrovir 17:329-335, 2001 </w:t>
      </w:r>
    </w:p>
    <w:p w14:paraId="50FC12E3"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Huber W, Bauer K, </w:t>
      </w:r>
      <w:r w:rsidRPr="00E40F70">
        <w:rPr>
          <w:rFonts w:ascii="Arial" w:hAnsi="Arial" w:cs="Arial"/>
          <w:b/>
          <w:sz w:val="22"/>
          <w:szCs w:val="22"/>
          <w:lang w:val="en-US"/>
        </w:rPr>
        <w:t>Süsal C</w:t>
      </w:r>
      <w:r w:rsidRPr="00E40F70">
        <w:rPr>
          <w:rFonts w:ascii="Arial" w:hAnsi="Arial" w:cs="Arial"/>
          <w:sz w:val="22"/>
          <w:szCs w:val="22"/>
          <w:lang w:val="en-US"/>
        </w:rPr>
        <w:t xml:space="preserve">, Conradt C, Opelz G. Associations of blood levels of PCB, HCH, and HCB with numbers of lymphocyte subpopulations, in vitro lymphocyte response, plasma cytokine levels, and immunoglobulin autoantibodies. Environ Health Perspect 109:173-178, 2001 </w:t>
      </w:r>
    </w:p>
    <w:p w14:paraId="716D6202"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w:t>
      </w:r>
      <w:r w:rsidRPr="00E40F70">
        <w:rPr>
          <w:rFonts w:ascii="Arial" w:hAnsi="Arial" w:cs="Arial"/>
          <w:b/>
          <w:sz w:val="22"/>
          <w:szCs w:val="22"/>
          <w:lang w:val="en-US"/>
        </w:rPr>
        <w:t>Süsal C</w:t>
      </w:r>
      <w:r w:rsidRPr="00E40F70">
        <w:rPr>
          <w:rFonts w:ascii="Arial" w:hAnsi="Arial" w:cs="Arial"/>
          <w:sz w:val="22"/>
          <w:szCs w:val="22"/>
          <w:lang w:val="en-US"/>
        </w:rPr>
        <w:t xml:space="preserve">, Weimer R, Zimmermann R, Huth-Kühne A, Opelz G. Association of immune complexes and plasma viral load with CD4+ cell depletion, CD8+DR+ and CD16+ cell counts in HIV+ hemophilia patients. Implications for the immunopathogenesis of HIV-induced CD4+ lymphocyte depletion. Immunol Lett 76:69-78, 2001 </w:t>
      </w:r>
    </w:p>
    <w:p w14:paraId="0C55D4E0"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Huber W, Bauer K, </w:t>
      </w:r>
      <w:r w:rsidRPr="00E40F70">
        <w:rPr>
          <w:rFonts w:ascii="Arial" w:hAnsi="Arial" w:cs="Arial"/>
          <w:b/>
          <w:sz w:val="22"/>
          <w:szCs w:val="22"/>
          <w:lang w:val="en-US"/>
        </w:rPr>
        <w:t>Süsal C</w:t>
      </w:r>
      <w:r w:rsidRPr="00E40F70">
        <w:rPr>
          <w:rFonts w:ascii="Arial" w:hAnsi="Arial" w:cs="Arial"/>
          <w:sz w:val="22"/>
          <w:szCs w:val="22"/>
          <w:lang w:val="en-US"/>
        </w:rPr>
        <w:t xml:space="preserve">, Mytilineos M, Melk A, Conradt C, Opelz G. Association of elevated blood levels of pentachlorophenol (PCP) with cellular and humoral immunodeficiencies. Arch Environ Med 56:77-83, 2001 </w:t>
      </w:r>
    </w:p>
    <w:p w14:paraId="53D44973"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Opelz G. Predictive power of ELISA-detected anti-HLA class I antibodies in pediatric kidney transplantation. Transplant Proc 33:1730-1731, 2001 </w:t>
      </w:r>
    </w:p>
    <w:p w14:paraId="1212A3D6"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sz w:val="22"/>
          <w:szCs w:val="22"/>
          <w:lang w:val="en-US"/>
        </w:rPr>
        <w:t xml:space="preserve">Kaioumova D, Kaioumov F, Opelz G, </w:t>
      </w:r>
      <w:r w:rsidRPr="00E40F70">
        <w:rPr>
          <w:rFonts w:ascii="Arial" w:hAnsi="Arial" w:cs="Arial"/>
          <w:b/>
          <w:sz w:val="22"/>
          <w:szCs w:val="22"/>
          <w:lang w:val="en-US"/>
        </w:rPr>
        <w:t>Süsal C</w:t>
      </w:r>
      <w:r w:rsidRPr="00E40F70">
        <w:rPr>
          <w:rFonts w:ascii="Arial" w:hAnsi="Arial" w:cs="Arial"/>
          <w:sz w:val="22"/>
          <w:szCs w:val="22"/>
          <w:lang w:val="en-US"/>
        </w:rPr>
        <w:t xml:space="preserve">. Toxic effects of the herbicide 2,4-dichlorophenoxyacetic acid on lymphoid organs of the rat. Chemosphere 43:801-805, 2001 </w:t>
      </w:r>
    </w:p>
    <w:p w14:paraId="70240129"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sz w:val="22"/>
          <w:szCs w:val="22"/>
          <w:lang w:val="en-US"/>
        </w:rPr>
        <w:t xml:space="preserve">Pelzl S, Opelz G, Wiesel M, Schnülle P, Schönemann C, Döhler B, </w:t>
      </w:r>
      <w:r w:rsidRPr="00E40F70">
        <w:rPr>
          <w:rFonts w:ascii="Arial" w:hAnsi="Arial" w:cs="Arial"/>
          <w:b/>
          <w:sz w:val="22"/>
          <w:szCs w:val="22"/>
          <w:lang w:val="en-US"/>
        </w:rPr>
        <w:t>Süsal C</w:t>
      </w:r>
      <w:r w:rsidRPr="00E40F70">
        <w:rPr>
          <w:rFonts w:ascii="Arial" w:hAnsi="Arial" w:cs="Arial"/>
          <w:sz w:val="22"/>
          <w:szCs w:val="22"/>
          <w:lang w:val="en-US"/>
        </w:rPr>
        <w:t xml:space="preserve">. Soluble CD30 as a predictor of kidney graft outcome. Transplantation 73:3-6, 2002 </w:t>
      </w:r>
    </w:p>
    <w:p w14:paraId="304D797B"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b/>
          <w:sz w:val="22"/>
          <w:szCs w:val="22"/>
          <w:lang w:val="en-US"/>
        </w:rPr>
        <w:lastRenderedPageBreak/>
        <w:t>Süsal C</w:t>
      </w:r>
      <w:r w:rsidRPr="00E40F70">
        <w:rPr>
          <w:rFonts w:ascii="Arial" w:hAnsi="Arial" w:cs="Arial"/>
          <w:sz w:val="22"/>
          <w:szCs w:val="22"/>
          <w:lang w:val="en-US"/>
        </w:rPr>
        <w:t xml:space="preserve">, Opelz G. Kidney graft failure and presensitization against HLA class I and class II antigens. Transplantation 73:1269-1273, 2002 </w:t>
      </w:r>
    </w:p>
    <w:p w14:paraId="273A39A1" w14:textId="77777777" w:rsidR="00616F9A" w:rsidRPr="00E40F70" w:rsidRDefault="00616F9A" w:rsidP="00616F9A">
      <w:pPr>
        <w:numPr>
          <w:ilvl w:val="0"/>
          <w:numId w:val="1"/>
        </w:numPr>
        <w:tabs>
          <w:tab w:val="left" w:pos="0"/>
          <w:tab w:val="left" w:pos="426"/>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Pelzl S, Döhler B, Opelz G. </w:t>
      </w:r>
      <w:r w:rsidRPr="00E40F70">
        <w:rPr>
          <w:rFonts w:ascii="Arial" w:hAnsi="Arial" w:cs="Arial"/>
          <w:snapToGrid w:val="0"/>
          <w:sz w:val="22"/>
          <w:szCs w:val="22"/>
          <w:lang w:val="en-US"/>
        </w:rPr>
        <w:t xml:space="preserve">Identification of highly responsive kidney transplant recipients using pretransplant soluble CD30. </w:t>
      </w:r>
      <w:r w:rsidRPr="00E40F70">
        <w:rPr>
          <w:rFonts w:ascii="Arial" w:hAnsi="Arial" w:cs="Arial"/>
          <w:sz w:val="22"/>
          <w:szCs w:val="22"/>
          <w:lang w:val="en-US"/>
        </w:rPr>
        <w:t xml:space="preserve">J Am Soc Nephrol 13:1650-1656, 2002 </w:t>
      </w:r>
    </w:p>
    <w:p w14:paraId="7FC19613"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V, Huber W, Bauer K, </w:t>
      </w:r>
      <w:r w:rsidRPr="00E40F70">
        <w:rPr>
          <w:rFonts w:ascii="Arial" w:hAnsi="Arial" w:cs="Arial"/>
          <w:b/>
          <w:sz w:val="22"/>
          <w:szCs w:val="22"/>
          <w:lang w:val="en-US"/>
        </w:rPr>
        <w:t>Süsal C</w:t>
      </w:r>
      <w:r w:rsidRPr="00E40F70">
        <w:rPr>
          <w:rFonts w:ascii="Arial" w:hAnsi="Arial" w:cs="Arial"/>
          <w:sz w:val="22"/>
          <w:szCs w:val="22"/>
          <w:lang w:val="en-US"/>
        </w:rPr>
        <w:t xml:space="preserve">, Conradt C, Opelz G. Associations of dichlorodiphenyltrichloroethane (DDT) 4.4 and dichlorodiphenyldichloroethylene (DDE) 4.4 blood levels with plasma IL-4. Arch Environ Health 57:541-547, 2002 </w:t>
      </w:r>
    </w:p>
    <w:p w14:paraId="40A746C5"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Simon T, Opelz G, Weimer R, Wiesel M, Feustel A, Ott RC, </w:t>
      </w:r>
      <w:r w:rsidRPr="00E40F70">
        <w:rPr>
          <w:rFonts w:ascii="Arial" w:hAnsi="Arial" w:cs="Arial"/>
          <w:b/>
          <w:sz w:val="22"/>
          <w:szCs w:val="22"/>
          <w:lang w:val="en-US"/>
        </w:rPr>
        <w:t>Süsal C</w:t>
      </w:r>
      <w:r w:rsidRPr="00E40F70">
        <w:rPr>
          <w:rFonts w:ascii="Arial" w:hAnsi="Arial" w:cs="Arial"/>
          <w:sz w:val="22"/>
          <w:szCs w:val="22"/>
          <w:lang w:val="en-US"/>
        </w:rPr>
        <w:t xml:space="preserve">. The effect of ATG on cytokine and cytotoxic T-lymphocyte gene expression in renal allograft recipients during the early post-transplant period. Clin Transplant 17:217-224, 2003 </w:t>
      </w:r>
    </w:p>
    <w:p w14:paraId="6C52D4BF"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Pelzl S, Opelz G, Daniel V, Wiesel M, </w:t>
      </w:r>
      <w:r w:rsidRPr="00E40F70">
        <w:rPr>
          <w:rFonts w:ascii="Arial" w:hAnsi="Arial" w:cs="Arial"/>
          <w:b/>
          <w:sz w:val="22"/>
          <w:szCs w:val="22"/>
          <w:lang w:val="en-US"/>
        </w:rPr>
        <w:t>Süsal C</w:t>
      </w:r>
      <w:r w:rsidRPr="00E40F70">
        <w:rPr>
          <w:rFonts w:ascii="Arial" w:hAnsi="Arial" w:cs="Arial"/>
          <w:sz w:val="22"/>
          <w:szCs w:val="22"/>
          <w:lang w:val="en-US"/>
        </w:rPr>
        <w:t xml:space="preserve">. Evaluation of posttransplantation soluble CD30 for diagnosis of acute renal allograft rejection. Transplantation 75:421-423, 2003 </w:t>
      </w:r>
    </w:p>
    <w:p w14:paraId="40B893C8" w14:textId="77777777" w:rsidR="00616F9A" w:rsidRPr="00E40F70" w:rsidRDefault="00616F9A" w:rsidP="00616F9A">
      <w:pPr>
        <w:numPr>
          <w:ilvl w:val="0"/>
          <w:numId w:val="1"/>
        </w:numPr>
        <w:tabs>
          <w:tab w:val="left" w:pos="0"/>
        </w:tabs>
        <w:spacing w:before="120" w:line="320" w:lineRule="exact"/>
        <w:rPr>
          <w:rFonts w:ascii="Arial" w:hAnsi="Arial" w:cs="Arial"/>
          <w:snapToGrid w:val="0"/>
          <w:sz w:val="22"/>
          <w:szCs w:val="22"/>
          <w:lang w:val="en-US"/>
        </w:rPr>
      </w:pPr>
      <w:r w:rsidRPr="00E40F70">
        <w:rPr>
          <w:rFonts w:ascii="Arial" w:hAnsi="Arial" w:cs="Arial"/>
          <w:snapToGrid w:val="0"/>
          <w:sz w:val="22"/>
          <w:szCs w:val="22"/>
          <w:lang w:val="en-US"/>
        </w:rPr>
        <w:t xml:space="preserve">Daniel D, Opelz G, Mulder A, </w:t>
      </w:r>
      <w:r w:rsidRPr="00E40F70">
        <w:rPr>
          <w:rFonts w:ascii="Arial" w:hAnsi="Arial" w:cs="Arial"/>
          <w:b/>
          <w:snapToGrid w:val="0"/>
          <w:sz w:val="22"/>
          <w:szCs w:val="22"/>
          <w:lang w:val="en-US"/>
        </w:rPr>
        <w:t>Süsal C</w:t>
      </w:r>
      <w:r w:rsidRPr="00E40F70">
        <w:rPr>
          <w:rFonts w:ascii="Arial" w:hAnsi="Arial" w:cs="Arial"/>
          <w:snapToGrid w:val="0"/>
          <w:sz w:val="22"/>
          <w:szCs w:val="22"/>
          <w:lang w:val="en-US"/>
        </w:rPr>
        <w:t xml:space="preserve">. Induction of apoptosis in human lymphocytes by allele-specific human anti-HLA class I antibodies. Transplantation 75:1380-1386, 2003 </w:t>
      </w:r>
    </w:p>
    <w:p w14:paraId="040A24D2"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sz w:val="22"/>
          <w:szCs w:val="22"/>
          <w:lang w:val="en-US"/>
        </w:rPr>
        <w:t xml:space="preserve">Simon T, Opelz G, Wiesel M, Ott RC, </w:t>
      </w:r>
      <w:r w:rsidRPr="00E40F70">
        <w:rPr>
          <w:rFonts w:ascii="Arial" w:hAnsi="Arial" w:cs="Arial"/>
          <w:b/>
          <w:sz w:val="22"/>
          <w:szCs w:val="22"/>
          <w:lang w:val="en-US"/>
        </w:rPr>
        <w:t>Süsal C</w:t>
      </w:r>
      <w:r w:rsidRPr="00E40F70">
        <w:rPr>
          <w:rFonts w:ascii="Arial" w:hAnsi="Arial" w:cs="Arial"/>
          <w:sz w:val="22"/>
          <w:szCs w:val="22"/>
          <w:lang w:val="en-US"/>
        </w:rPr>
        <w:t xml:space="preserve">. Serial peripheral blood perforin and granzyme B gene expression measurements for prediction of acute rejection in kidney graft recipients. Am J Transplant 3:1121-1127, 2003 </w:t>
      </w:r>
    </w:p>
    <w:p w14:paraId="14333281" w14:textId="77777777" w:rsidR="00616F9A" w:rsidRPr="00E40F70" w:rsidRDefault="00616F9A" w:rsidP="00616F9A">
      <w:pPr>
        <w:numPr>
          <w:ilvl w:val="0"/>
          <w:numId w:val="1"/>
        </w:numPr>
        <w:tabs>
          <w:tab w:val="left" w:pos="0"/>
          <w:tab w:val="left" w:pos="425"/>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Pelzl S, Opelz G. Strong human leukocyte antigen matching effect in nonsensitized kidney recipients with high pretransplant soluble CD30. Transplantation 76:1231-1232, 2003 </w:t>
      </w:r>
    </w:p>
    <w:p w14:paraId="0B254AC5" w14:textId="77777777" w:rsidR="00616F9A" w:rsidRPr="00E40F70" w:rsidRDefault="00616F9A" w:rsidP="00616F9A">
      <w:pPr>
        <w:pStyle w:val="DefinitionList"/>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Daniel D, </w:t>
      </w:r>
      <w:r w:rsidRPr="00E40F70">
        <w:rPr>
          <w:rFonts w:ascii="Arial" w:hAnsi="Arial" w:cs="Arial"/>
          <w:b/>
          <w:sz w:val="22"/>
          <w:szCs w:val="22"/>
          <w:lang w:val="en-US"/>
        </w:rPr>
        <w:t>Süsal C</w:t>
      </w:r>
      <w:r w:rsidRPr="00E40F70">
        <w:rPr>
          <w:rFonts w:ascii="Arial" w:hAnsi="Arial" w:cs="Arial"/>
          <w:sz w:val="22"/>
          <w:szCs w:val="22"/>
          <w:lang w:val="en-US"/>
        </w:rPr>
        <w:t xml:space="preserve">, Kopp B, Opelz G, Terness P. Apoptosis-mediated selective killing of malignant cells by cardiac steroids: maintenance of cytotoxicity and loss of cardiac activity of chemically modified derivatives. Int Immunopharmacol 3:1791-1801, 2003 </w:t>
      </w:r>
    </w:p>
    <w:p w14:paraId="30B21B1E" w14:textId="77777777" w:rsidR="00616F9A" w:rsidRPr="00E40F70" w:rsidRDefault="00616F9A" w:rsidP="00616F9A">
      <w:pPr>
        <w:numPr>
          <w:ilvl w:val="0"/>
          <w:numId w:val="1"/>
        </w:numPr>
        <w:tabs>
          <w:tab w:val="left" w:pos="0"/>
          <w:tab w:val="left" w:pos="425"/>
        </w:tabs>
        <w:spacing w:before="120" w:line="320" w:lineRule="exact"/>
        <w:rPr>
          <w:rFonts w:ascii="Arial" w:hAnsi="Arial" w:cs="Arial"/>
          <w:caps/>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Pelzl S, Simon T, Opelz G. Advances in pre- and posttransplant immunological testing in kidney transplantation. Transplant Proc</w:t>
      </w:r>
      <w:r w:rsidRPr="00E40F70">
        <w:rPr>
          <w:rFonts w:ascii="Arial" w:hAnsi="Arial" w:cs="Arial"/>
          <w:caps/>
          <w:sz w:val="22"/>
          <w:szCs w:val="22"/>
          <w:lang w:val="en-US"/>
        </w:rPr>
        <w:t xml:space="preserve"> 36:29-34, 2004 </w:t>
      </w:r>
    </w:p>
    <w:p w14:paraId="3BC7268A"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Simon T, Opelz G, Wiesel M, Pelz S, Ott RC, </w:t>
      </w:r>
      <w:r w:rsidRPr="00E40F70">
        <w:rPr>
          <w:rFonts w:ascii="Arial" w:hAnsi="Arial" w:cs="Arial"/>
          <w:b/>
          <w:sz w:val="22"/>
          <w:szCs w:val="22"/>
          <w:lang w:val="en-US"/>
        </w:rPr>
        <w:t>Süsal C</w:t>
      </w:r>
      <w:r w:rsidRPr="00E40F70">
        <w:rPr>
          <w:rFonts w:ascii="Arial" w:hAnsi="Arial" w:cs="Arial"/>
          <w:sz w:val="22"/>
          <w:szCs w:val="22"/>
          <w:lang w:val="en-US"/>
        </w:rPr>
        <w:t>. Serial peripheral blood interleukin-18 and perforin gene expression measurements for prediction of acute kidney graft</w:t>
      </w:r>
      <w:r>
        <w:rPr>
          <w:rFonts w:ascii="Arial" w:hAnsi="Arial" w:cs="Arial"/>
          <w:sz w:val="22"/>
          <w:szCs w:val="22"/>
          <w:lang w:val="en-US"/>
        </w:rPr>
        <w:t xml:space="preserve"> rejection. Transplantation 77:</w:t>
      </w:r>
      <w:r w:rsidRPr="00E40F70">
        <w:rPr>
          <w:rFonts w:ascii="Arial" w:hAnsi="Arial" w:cs="Arial"/>
          <w:sz w:val="22"/>
          <w:szCs w:val="22"/>
          <w:lang w:val="en-US"/>
        </w:rPr>
        <w:t xml:space="preserve">1589-1595, 2004 </w:t>
      </w:r>
    </w:p>
    <w:p w14:paraId="621E5166"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Sadeghi M, Daniel V, Naujokat C, </w:t>
      </w:r>
      <w:r w:rsidRPr="00E40F70">
        <w:rPr>
          <w:rFonts w:ascii="Arial" w:hAnsi="Arial" w:cs="Arial"/>
          <w:b/>
          <w:sz w:val="22"/>
          <w:szCs w:val="22"/>
          <w:lang w:val="en-US"/>
        </w:rPr>
        <w:t>Süsal C</w:t>
      </w:r>
      <w:r w:rsidRPr="00E40F70">
        <w:rPr>
          <w:rFonts w:ascii="Arial" w:hAnsi="Arial" w:cs="Arial"/>
          <w:sz w:val="22"/>
          <w:szCs w:val="22"/>
          <w:lang w:val="en-US"/>
        </w:rPr>
        <w:t xml:space="preserve">, Weimer R, Huth-Kühne A, Zimmermann R, Opelz G. Dissociation of CD4(+) cell counts from viral load and association with immune complexes in HIV(+) hemophilia patients. Immunol Lett 91:23-32, 2004 </w:t>
      </w:r>
    </w:p>
    <w:p w14:paraId="4025AB05"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lastRenderedPageBreak/>
        <w:t xml:space="preserve">Daniel D, Opelz G, Mulder A, Kleist C, </w:t>
      </w:r>
      <w:r w:rsidRPr="00E40F70">
        <w:rPr>
          <w:rFonts w:ascii="Arial" w:hAnsi="Arial" w:cs="Arial"/>
          <w:b/>
          <w:sz w:val="22"/>
          <w:szCs w:val="22"/>
          <w:lang w:val="en-US"/>
        </w:rPr>
        <w:t>Süsal C</w:t>
      </w:r>
      <w:r w:rsidRPr="00E40F70">
        <w:rPr>
          <w:rFonts w:ascii="Arial" w:hAnsi="Arial" w:cs="Arial"/>
          <w:sz w:val="22"/>
          <w:szCs w:val="22"/>
          <w:lang w:val="en-US"/>
        </w:rPr>
        <w:t xml:space="preserve">. Pathway of apoptosis induced in Jurkat T lymphocytes by anti-HLA class I antibodies. Human Immunol 65:189-199, 2004 </w:t>
      </w:r>
    </w:p>
    <w:p w14:paraId="001EA70D"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Opelz G. </w:t>
      </w:r>
      <w:r w:rsidRPr="00E40F70">
        <w:rPr>
          <w:rFonts w:ascii="Arial" w:hAnsi="Arial" w:cs="Arial"/>
          <w:snapToGrid w:val="0"/>
          <w:sz w:val="22"/>
          <w:szCs w:val="22"/>
          <w:lang w:val="en-US"/>
        </w:rPr>
        <w:t xml:space="preserve">Good kidney transplant outcome in recipients with presensitization against HLA class II but not HLA class I. </w:t>
      </w:r>
      <w:r w:rsidRPr="00E40F70">
        <w:rPr>
          <w:rFonts w:ascii="Arial" w:hAnsi="Arial" w:cs="Arial"/>
          <w:sz w:val="22"/>
          <w:szCs w:val="22"/>
          <w:lang w:val="en-US"/>
        </w:rPr>
        <w:t xml:space="preserve">Human Immunol 65:810-816, 2004 </w:t>
      </w:r>
    </w:p>
    <w:p w14:paraId="32FB5519"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Weimer R, Staak A, </w:t>
      </w:r>
      <w:r w:rsidRPr="00E40F70">
        <w:rPr>
          <w:rFonts w:ascii="Arial" w:hAnsi="Arial" w:cs="Arial"/>
          <w:b/>
          <w:sz w:val="22"/>
          <w:szCs w:val="22"/>
          <w:lang w:val="en-US"/>
        </w:rPr>
        <w:t>Süsal C</w:t>
      </w:r>
      <w:r w:rsidRPr="00E40F70">
        <w:rPr>
          <w:rFonts w:ascii="Arial" w:hAnsi="Arial" w:cs="Arial"/>
          <w:sz w:val="22"/>
          <w:szCs w:val="22"/>
          <w:lang w:val="en-US"/>
        </w:rPr>
        <w:t xml:space="preserve">, Streller S, Yildiz S, Pelzl S, Renner F, Dietrich H, Daniel V, Rainer L, Kamali-Ernst S, Ernst W, Padberg W, Opelz G. ATG induction therapy: long-term effects on Th1 but not on Th2 responses. Transpl Int 18:226-236, 2005 </w:t>
      </w:r>
    </w:p>
    <w:p w14:paraId="6EFC5C79"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Alvarez CM, Opelz G, Giraldo MC, Pelzl S, Renner F, Weimer R, Schmidt J, Arbeláez M, García LF, </w:t>
      </w:r>
      <w:r w:rsidRPr="00E40F70">
        <w:rPr>
          <w:rFonts w:ascii="Arial" w:hAnsi="Arial" w:cs="Arial"/>
          <w:b/>
          <w:sz w:val="22"/>
          <w:szCs w:val="22"/>
          <w:lang w:val="en-US"/>
        </w:rPr>
        <w:t>Süsal C</w:t>
      </w:r>
      <w:r w:rsidRPr="00E40F70">
        <w:rPr>
          <w:rFonts w:ascii="Arial" w:hAnsi="Arial" w:cs="Arial"/>
          <w:sz w:val="22"/>
          <w:szCs w:val="22"/>
          <w:lang w:val="en-US"/>
        </w:rPr>
        <w:t xml:space="preserve">. Evaluation of T cell receptor repertoires in patients with long-term renal allograft survival. Am J Transplant 5:746-756, 2005 </w:t>
      </w:r>
    </w:p>
    <w:p w14:paraId="6274859E"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Weimer R, </w:t>
      </w:r>
      <w:r w:rsidRPr="00E40F70">
        <w:rPr>
          <w:rFonts w:ascii="Arial" w:hAnsi="Arial" w:cs="Arial"/>
          <w:b/>
          <w:sz w:val="22"/>
          <w:szCs w:val="22"/>
          <w:lang w:val="en-US"/>
        </w:rPr>
        <w:t>Süsal C</w:t>
      </w:r>
      <w:r w:rsidRPr="00E40F70">
        <w:rPr>
          <w:rFonts w:ascii="Arial" w:hAnsi="Arial" w:cs="Arial"/>
          <w:sz w:val="22"/>
          <w:szCs w:val="22"/>
          <w:lang w:val="en-US"/>
        </w:rPr>
        <w:t xml:space="preserve">, Yildiz S, Streller S, Pelzl S, Staak A, Renner F, Dietrich H, Daniel V, Feuring E, Kamali-Ernst S, Ernst W, Padberg W, Opelz G. sCD30 and neopterin as risk factors of chronic renal transplant rejection: impact of cyclosporine A, tacrolimus, and mycophenolate mofetil. Transplant Proc 37:1776-1778, 2005 </w:t>
      </w:r>
    </w:p>
    <w:p w14:paraId="2B36DB63"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sz w:val="22"/>
          <w:szCs w:val="22"/>
          <w:lang w:val="en-US"/>
        </w:rPr>
        <w:t xml:space="preserve">Weimer R, Staak A, </w:t>
      </w:r>
      <w:r w:rsidRPr="00E40F70">
        <w:rPr>
          <w:rFonts w:ascii="Arial" w:hAnsi="Arial" w:cs="Arial"/>
          <w:b/>
          <w:sz w:val="22"/>
          <w:szCs w:val="22"/>
          <w:lang w:val="en-US"/>
        </w:rPr>
        <w:t>Süsal C</w:t>
      </w:r>
      <w:r w:rsidRPr="00E40F70">
        <w:rPr>
          <w:rFonts w:ascii="Arial" w:hAnsi="Arial" w:cs="Arial"/>
          <w:sz w:val="22"/>
          <w:szCs w:val="22"/>
          <w:lang w:val="en-US"/>
        </w:rPr>
        <w:t xml:space="preserve">, Streller S, Yildiz S, Pelzl S, Renner F, Dietrich H, Daniel V, Rainer L, Kamali-Ernst S, Ernst W, Padberg W, Opelz G. ATG induction therapy: long-term effects on Th1 but not on Th2 responses. Transpl Int 18:226-236, 2005 </w:t>
      </w:r>
    </w:p>
    <w:p w14:paraId="728B2866" w14:textId="77777777" w:rsidR="00616F9A" w:rsidRPr="00E40F70" w:rsidRDefault="00CF3246" w:rsidP="00616F9A">
      <w:pPr>
        <w:pStyle w:val="BodyText"/>
        <w:numPr>
          <w:ilvl w:val="0"/>
          <w:numId w:val="1"/>
        </w:numPr>
        <w:tabs>
          <w:tab w:val="left" w:pos="0"/>
        </w:tabs>
        <w:spacing w:line="320" w:lineRule="exact"/>
        <w:rPr>
          <w:rFonts w:ascii="Arial" w:hAnsi="Arial" w:cs="Arial"/>
          <w:sz w:val="22"/>
          <w:szCs w:val="22"/>
          <w:lang w:val="en-US"/>
        </w:rPr>
      </w:pPr>
      <w:hyperlink r:id="rId12" w:tooltip="Click to search for citations by this author." w:history="1">
        <w:r w:rsidR="00616F9A" w:rsidRPr="00E40F70">
          <w:rPr>
            <w:rStyle w:val="Hyperlink"/>
            <w:rFonts w:ascii="Arial" w:hAnsi="Arial" w:cs="Arial"/>
            <w:bCs/>
            <w:color w:val="auto"/>
            <w:sz w:val="22"/>
            <w:szCs w:val="22"/>
            <w:u w:val="none"/>
            <w:lang w:val="en-US"/>
          </w:rPr>
          <w:t>Matinlauri IH</w:t>
        </w:r>
      </w:hyperlink>
      <w:r w:rsidR="00616F9A" w:rsidRPr="00E40F70">
        <w:rPr>
          <w:rFonts w:ascii="Arial" w:hAnsi="Arial" w:cs="Arial"/>
          <w:sz w:val="22"/>
          <w:szCs w:val="22"/>
          <w:lang w:val="en-US"/>
        </w:rPr>
        <w:t xml:space="preserve">, </w:t>
      </w:r>
      <w:hyperlink r:id="rId13" w:tooltip="Click to search for citations by this author." w:history="1">
        <w:r w:rsidR="00616F9A" w:rsidRPr="00E40F70">
          <w:rPr>
            <w:rStyle w:val="Hyperlink"/>
            <w:rFonts w:ascii="Arial" w:hAnsi="Arial" w:cs="Arial"/>
            <w:bCs/>
            <w:color w:val="auto"/>
            <w:sz w:val="22"/>
            <w:szCs w:val="22"/>
            <w:u w:val="none"/>
            <w:lang w:val="en-US"/>
          </w:rPr>
          <w:t>Kyllonen LE</w:t>
        </w:r>
      </w:hyperlink>
      <w:r w:rsidR="00616F9A" w:rsidRPr="00E40F70">
        <w:rPr>
          <w:rFonts w:ascii="Arial" w:hAnsi="Arial" w:cs="Arial"/>
          <w:sz w:val="22"/>
          <w:szCs w:val="22"/>
          <w:lang w:val="en-US"/>
        </w:rPr>
        <w:t xml:space="preserve">, </w:t>
      </w:r>
      <w:hyperlink r:id="rId14" w:tooltip="Click to search for citations by this author." w:history="1">
        <w:r w:rsidR="00616F9A" w:rsidRPr="00E40F70">
          <w:rPr>
            <w:rStyle w:val="Hyperlink"/>
            <w:rFonts w:ascii="Arial" w:hAnsi="Arial" w:cs="Arial"/>
            <w:bCs/>
            <w:color w:val="auto"/>
            <w:sz w:val="22"/>
            <w:szCs w:val="22"/>
            <w:u w:val="none"/>
            <w:lang w:val="en-US"/>
          </w:rPr>
          <w:t>Salmela KT</w:t>
        </w:r>
      </w:hyperlink>
      <w:r w:rsidR="00616F9A" w:rsidRPr="00E40F70">
        <w:rPr>
          <w:rFonts w:ascii="Arial" w:hAnsi="Arial" w:cs="Arial"/>
          <w:sz w:val="22"/>
          <w:szCs w:val="22"/>
          <w:lang w:val="en-US"/>
        </w:rPr>
        <w:t xml:space="preserve">, </w:t>
      </w:r>
      <w:hyperlink r:id="rId15" w:tooltip="Click to search for citations by this author." w:history="1">
        <w:r w:rsidR="00616F9A" w:rsidRPr="00E40F70">
          <w:rPr>
            <w:rStyle w:val="Hyperlink"/>
            <w:rFonts w:ascii="Arial" w:hAnsi="Arial" w:cs="Arial"/>
            <w:bCs/>
            <w:color w:val="auto"/>
            <w:sz w:val="22"/>
            <w:szCs w:val="22"/>
            <w:u w:val="none"/>
            <w:lang w:val="en-US"/>
          </w:rPr>
          <w:t>Helin H</w:t>
        </w:r>
      </w:hyperlink>
      <w:r w:rsidR="00616F9A" w:rsidRPr="00E40F70">
        <w:rPr>
          <w:rFonts w:ascii="Arial" w:hAnsi="Arial" w:cs="Arial"/>
          <w:sz w:val="22"/>
          <w:szCs w:val="22"/>
          <w:lang w:val="en-US"/>
        </w:rPr>
        <w:t xml:space="preserve">, </w:t>
      </w:r>
      <w:hyperlink r:id="rId16" w:tooltip="Click to search for citations by this author." w:history="1">
        <w:r w:rsidR="00616F9A" w:rsidRPr="00E40F70">
          <w:rPr>
            <w:rStyle w:val="Hyperlink"/>
            <w:rFonts w:ascii="Arial" w:hAnsi="Arial" w:cs="Arial"/>
            <w:bCs/>
            <w:color w:val="auto"/>
            <w:sz w:val="22"/>
            <w:szCs w:val="22"/>
            <w:u w:val="none"/>
            <w:lang w:val="en-US"/>
          </w:rPr>
          <w:t>Pelzl S</w:t>
        </w:r>
      </w:hyperlink>
      <w:r w:rsidR="00616F9A" w:rsidRPr="00E40F70">
        <w:rPr>
          <w:rFonts w:ascii="Arial" w:hAnsi="Arial" w:cs="Arial"/>
          <w:sz w:val="22"/>
          <w:szCs w:val="22"/>
          <w:lang w:val="en-US"/>
        </w:rPr>
        <w:t xml:space="preserve">, </w:t>
      </w:r>
      <w:hyperlink r:id="rId17" w:tooltip="Click to search for citations by this author." w:history="1">
        <w:r w:rsidR="00616F9A" w:rsidRPr="00E40F70">
          <w:rPr>
            <w:rStyle w:val="Hyperlink"/>
            <w:rFonts w:ascii="Arial" w:hAnsi="Arial" w:cs="Arial"/>
            <w:b/>
            <w:bCs/>
            <w:color w:val="auto"/>
            <w:sz w:val="22"/>
            <w:szCs w:val="22"/>
            <w:u w:val="none"/>
            <w:lang w:val="en-US"/>
          </w:rPr>
          <w:t>Süsal C</w:t>
        </w:r>
      </w:hyperlink>
      <w:r w:rsidR="00616F9A" w:rsidRPr="00E40F70">
        <w:rPr>
          <w:rFonts w:ascii="Arial" w:hAnsi="Arial" w:cs="Arial"/>
          <w:sz w:val="22"/>
          <w:szCs w:val="22"/>
          <w:lang w:val="en-US"/>
        </w:rPr>
        <w:t xml:space="preserve">. </w:t>
      </w:r>
      <w:r w:rsidR="00616F9A" w:rsidRPr="00E40F70">
        <w:rPr>
          <w:rFonts w:ascii="Arial" w:hAnsi="Arial" w:cs="Arial"/>
          <w:bCs/>
          <w:sz w:val="22"/>
          <w:szCs w:val="22"/>
          <w:lang w:val="en-US"/>
        </w:rPr>
        <w:t xml:space="preserve">Serum sCD30 in monitoring of alloresponse in well HLA-matched cadaveric kidney transplantations. </w:t>
      </w:r>
      <w:hyperlink r:id="rId18" w:history="1">
        <w:r w:rsidR="00616F9A" w:rsidRPr="00E40F70">
          <w:rPr>
            <w:rStyle w:val="Hyperlink"/>
            <w:rFonts w:ascii="Arial" w:hAnsi="Arial" w:cs="Arial"/>
            <w:color w:val="auto"/>
            <w:sz w:val="22"/>
            <w:szCs w:val="22"/>
            <w:u w:val="none"/>
            <w:lang w:val="en-US"/>
          </w:rPr>
          <w:t>Transplantation</w:t>
        </w:r>
      </w:hyperlink>
      <w:r w:rsidR="00616F9A" w:rsidRPr="00E40F70">
        <w:rPr>
          <w:rFonts w:ascii="Arial" w:hAnsi="Arial" w:cs="Arial"/>
          <w:sz w:val="22"/>
          <w:szCs w:val="22"/>
          <w:lang w:val="en-US"/>
        </w:rPr>
        <w:t xml:space="preserve"> 80:1809-1812, 2005 </w:t>
      </w:r>
    </w:p>
    <w:p w14:paraId="5F99BD2D" w14:textId="77777777" w:rsidR="00616F9A" w:rsidRPr="00E40F70" w:rsidRDefault="00616F9A" w:rsidP="00616F9A">
      <w:pPr>
        <w:pStyle w:val="BodyText"/>
        <w:numPr>
          <w:ilvl w:val="0"/>
          <w:numId w:val="1"/>
        </w:numPr>
        <w:tabs>
          <w:tab w:val="left" w:pos="0"/>
        </w:tabs>
        <w:spacing w:line="320" w:lineRule="exact"/>
        <w:rPr>
          <w:rFonts w:ascii="Arial" w:hAnsi="Arial" w:cs="Arial"/>
          <w:sz w:val="22"/>
          <w:szCs w:val="22"/>
          <w:lang w:val="en-US"/>
        </w:rPr>
      </w:pPr>
      <w:r w:rsidRPr="00E40F70">
        <w:rPr>
          <w:rFonts w:ascii="Arial" w:hAnsi="Arial" w:cs="Arial"/>
          <w:iCs/>
          <w:sz w:val="22"/>
          <w:szCs w:val="22"/>
          <w:lang w:val="en-US"/>
        </w:rPr>
        <w:t xml:space="preserve">Staak A, Renner F, </w:t>
      </w:r>
      <w:r w:rsidRPr="00E40F70">
        <w:rPr>
          <w:rFonts w:ascii="Arial" w:hAnsi="Arial" w:cs="Arial"/>
          <w:b/>
          <w:iCs/>
          <w:sz w:val="22"/>
          <w:szCs w:val="22"/>
          <w:lang w:val="en-US"/>
        </w:rPr>
        <w:t>Süsal C</w:t>
      </w:r>
      <w:r w:rsidRPr="00E40F70">
        <w:rPr>
          <w:rFonts w:ascii="Arial" w:hAnsi="Arial" w:cs="Arial"/>
          <w:iCs/>
          <w:sz w:val="22"/>
          <w:szCs w:val="22"/>
          <w:lang w:val="en-US"/>
        </w:rPr>
        <w:t xml:space="preserve">, Dietrich H, Rainer L, Kamali-Ernst S, Ernst W, Padberg W, Opelz G, Weimer R. </w:t>
      </w:r>
      <w:r w:rsidRPr="00E40F70">
        <w:rPr>
          <w:rFonts w:ascii="Arial" w:hAnsi="Arial" w:cs="Arial"/>
          <w:sz w:val="22"/>
          <w:szCs w:val="22"/>
          <w:lang w:val="en-US"/>
        </w:rPr>
        <w:t xml:space="preserve">Immunoglobulin induction therapy in renal transplant recipients – effects on immunoglobulin and regulatory antibody levels. </w:t>
      </w:r>
      <w:r w:rsidRPr="00E40F70">
        <w:rPr>
          <w:rFonts w:ascii="Arial" w:hAnsi="Arial" w:cs="Arial"/>
          <w:bCs/>
          <w:sz w:val="22"/>
          <w:szCs w:val="22"/>
          <w:lang w:val="en-US"/>
        </w:rPr>
        <w:t xml:space="preserve">Transplant Proc </w:t>
      </w:r>
      <w:r w:rsidRPr="00E40F70">
        <w:rPr>
          <w:rStyle w:val="volume"/>
          <w:rFonts w:ascii="Arial" w:hAnsi="Arial" w:cs="Arial"/>
          <w:sz w:val="22"/>
          <w:szCs w:val="22"/>
          <w:lang w:val="en-US"/>
        </w:rPr>
        <w:t>38</w:t>
      </w:r>
      <w:r w:rsidRPr="00E40F70">
        <w:rPr>
          <w:rFonts w:ascii="Arial" w:hAnsi="Arial" w:cs="Arial"/>
          <w:sz w:val="22"/>
          <w:szCs w:val="22"/>
          <w:lang w:val="en-US"/>
        </w:rPr>
        <w:t>:</w:t>
      </w:r>
      <w:r w:rsidRPr="00E40F70">
        <w:rPr>
          <w:rStyle w:val="pages"/>
          <w:rFonts w:ascii="Arial" w:hAnsi="Arial" w:cs="Arial"/>
          <w:sz w:val="22"/>
          <w:szCs w:val="22"/>
          <w:lang w:val="en-US"/>
        </w:rPr>
        <w:t>3483-3485, 2006</w:t>
      </w:r>
      <w:r w:rsidRPr="00E40F70">
        <w:rPr>
          <w:rFonts w:ascii="Arial" w:hAnsi="Arial" w:cs="Arial"/>
          <w:sz w:val="22"/>
          <w:szCs w:val="22"/>
          <w:lang w:val="en-US"/>
        </w:rPr>
        <w:t xml:space="preserve"> </w:t>
      </w:r>
    </w:p>
    <w:p w14:paraId="27FB4562" w14:textId="77777777" w:rsidR="00616F9A" w:rsidRPr="00E40F70" w:rsidRDefault="00616F9A" w:rsidP="00616F9A">
      <w:pPr>
        <w:numPr>
          <w:ilvl w:val="0"/>
          <w:numId w:val="1"/>
        </w:numPr>
        <w:tabs>
          <w:tab w:val="left" w:pos="0"/>
        </w:tabs>
        <w:spacing w:before="120" w:line="320" w:lineRule="exact"/>
        <w:rPr>
          <w:rFonts w:ascii="Arial" w:hAnsi="Arial" w:cs="Arial"/>
          <w:bCs/>
          <w:sz w:val="22"/>
          <w:szCs w:val="22"/>
          <w:lang w:val="en-US"/>
        </w:rPr>
      </w:pPr>
      <w:r w:rsidRPr="00E40F70">
        <w:rPr>
          <w:rFonts w:ascii="Arial" w:hAnsi="Arial" w:cs="Arial"/>
          <w:iCs/>
          <w:sz w:val="22"/>
          <w:szCs w:val="22"/>
          <w:lang w:val="en-US"/>
        </w:rPr>
        <w:t xml:space="preserve">Weimer R, </w:t>
      </w:r>
      <w:r w:rsidRPr="00E40F70">
        <w:rPr>
          <w:rFonts w:ascii="Arial" w:hAnsi="Arial" w:cs="Arial"/>
          <w:b/>
          <w:iCs/>
          <w:sz w:val="22"/>
          <w:szCs w:val="22"/>
          <w:lang w:val="en-US"/>
        </w:rPr>
        <w:t>Süsal C</w:t>
      </w:r>
      <w:r w:rsidRPr="00E40F70">
        <w:rPr>
          <w:rFonts w:ascii="Arial" w:hAnsi="Arial" w:cs="Arial"/>
          <w:iCs/>
          <w:sz w:val="22"/>
          <w:szCs w:val="22"/>
          <w:lang w:val="en-US"/>
        </w:rPr>
        <w:t xml:space="preserve">, Yildiz S, Staak A, Pelzl S, Renner F, Dietrich H, Daniel V, Kamali-Ernst S, Ernst W, Padberg W, Opelz G. </w:t>
      </w:r>
      <w:r w:rsidRPr="00E40F70">
        <w:rPr>
          <w:rFonts w:ascii="Arial" w:hAnsi="Arial" w:cs="Arial"/>
          <w:bCs/>
          <w:sz w:val="22"/>
          <w:szCs w:val="22"/>
          <w:lang w:val="en-US"/>
        </w:rPr>
        <w:t xml:space="preserve">Post-transplant sCD30 and neopterin as predictors of chronic allograft nephropathy: impact of different immunosuppressive regimens. </w:t>
      </w:r>
      <w:hyperlink r:id="rId19" w:history="1">
        <w:r w:rsidRPr="00E40F70">
          <w:rPr>
            <w:rStyle w:val="Hyperlink"/>
            <w:rFonts w:ascii="Arial" w:hAnsi="Arial" w:cs="Arial"/>
            <w:color w:val="auto"/>
            <w:sz w:val="22"/>
            <w:szCs w:val="22"/>
            <w:u w:val="none"/>
            <w:lang w:val="en-US"/>
          </w:rPr>
          <w:t>Am J Transplant</w:t>
        </w:r>
      </w:hyperlink>
      <w:r w:rsidRPr="00E40F70">
        <w:rPr>
          <w:rFonts w:ascii="Arial" w:hAnsi="Arial" w:cs="Arial"/>
          <w:bCs/>
          <w:sz w:val="22"/>
          <w:szCs w:val="22"/>
          <w:lang w:val="en-US"/>
        </w:rPr>
        <w:t xml:space="preserve"> 6:1865-1874, 2006 </w:t>
      </w:r>
    </w:p>
    <w:p w14:paraId="6DA198DD"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Sadeghi M, </w:t>
      </w:r>
      <w:r w:rsidRPr="00E40F70">
        <w:rPr>
          <w:rFonts w:ascii="Arial" w:hAnsi="Arial" w:cs="Arial"/>
          <w:b/>
          <w:sz w:val="22"/>
          <w:szCs w:val="22"/>
          <w:lang w:val="en-US"/>
        </w:rPr>
        <w:t>Süsal C</w:t>
      </w:r>
      <w:r w:rsidRPr="00E40F70">
        <w:rPr>
          <w:rFonts w:ascii="Arial" w:hAnsi="Arial" w:cs="Arial"/>
          <w:sz w:val="22"/>
          <w:szCs w:val="22"/>
          <w:lang w:val="en-US"/>
        </w:rPr>
        <w:t xml:space="preserve">, Daniel V, Naujokat C, Zimmermann R, Huth-Kühne A, Opelz G. Decreasing soluble CD30 and increasing IFN-gamma plasma levels are indicators of effective highly active antiretroviral therapy. AIDS Res Hum Retroviruses 23:886-890, 2007 </w:t>
      </w:r>
    </w:p>
    <w:p w14:paraId="6B725570" w14:textId="77777777" w:rsidR="00616F9A" w:rsidRPr="00E40F70" w:rsidRDefault="00CF3246" w:rsidP="00616F9A">
      <w:pPr>
        <w:numPr>
          <w:ilvl w:val="0"/>
          <w:numId w:val="1"/>
        </w:numPr>
        <w:tabs>
          <w:tab w:val="left" w:pos="0"/>
        </w:tabs>
        <w:spacing w:before="120" w:line="320" w:lineRule="exact"/>
        <w:rPr>
          <w:rFonts w:ascii="Arial" w:hAnsi="Arial" w:cs="Arial"/>
          <w:sz w:val="22"/>
          <w:szCs w:val="22"/>
          <w:lang w:val="en-US"/>
        </w:rPr>
      </w:pPr>
      <w:hyperlink r:id="rId20" w:history="1">
        <w:r w:rsidR="00616F9A" w:rsidRPr="00E40F70">
          <w:rPr>
            <w:rStyle w:val="Hyperlink"/>
            <w:rFonts w:ascii="Arial" w:hAnsi="Arial" w:cs="Arial"/>
            <w:color w:val="auto"/>
            <w:sz w:val="22"/>
            <w:szCs w:val="22"/>
            <w:u w:val="none"/>
            <w:lang w:val="en-US"/>
          </w:rPr>
          <w:t xml:space="preserve">Mahmoud K, Opelz G, Pelzl S, Daniel V, Sommerer C, Zeier M, Schmidt J, Schönemann C, Schnülle P, </w:t>
        </w:r>
        <w:r w:rsidR="00616F9A" w:rsidRPr="00E40F70">
          <w:rPr>
            <w:rStyle w:val="Hyperlink"/>
            <w:rFonts w:ascii="Arial" w:hAnsi="Arial" w:cs="Arial"/>
            <w:b/>
            <w:color w:val="auto"/>
            <w:sz w:val="22"/>
            <w:szCs w:val="22"/>
            <w:u w:val="none"/>
            <w:lang w:val="en-US"/>
          </w:rPr>
          <w:t>Süsal C</w:t>
        </w:r>
      </w:hyperlink>
      <w:r w:rsidR="00616F9A" w:rsidRPr="00E40F70">
        <w:rPr>
          <w:rFonts w:ascii="Arial" w:hAnsi="Arial" w:cs="Arial"/>
          <w:sz w:val="22"/>
          <w:szCs w:val="22"/>
          <w:lang w:val="en-US"/>
        </w:rPr>
        <w:t xml:space="preserve">. Evaluation of hepatocyte growth factor as a </w:t>
      </w:r>
      <w:r w:rsidR="00616F9A" w:rsidRPr="00E40F70">
        <w:rPr>
          <w:rFonts w:ascii="Arial" w:hAnsi="Arial" w:cs="Arial"/>
          <w:sz w:val="22"/>
          <w:szCs w:val="22"/>
          <w:lang w:val="en-US"/>
        </w:rPr>
        <w:lastRenderedPageBreak/>
        <w:t xml:space="preserve">sensitive marker for early detection of acute renal allograft rejection. Transplantation </w:t>
      </w:r>
      <w:r w:rsidR="00616F9A" w:rsidRPr="00E40F70">
        <w:rPr>
          <w:rStyle w:val="volume"/>
          <w:rFonts w:ascii="Arial" w:hAnsi="Arial" w:cs="Arial"/>
          <w:sz w:val="22"/>
          <w:szCs w:val="22"/>
          <w:lang w:val="en-US"/>
        </w:rPr>
        <w:t>83</w:t>
      </w:r>
      <w:r w:rsidR="00616F9A" w:rsidRPr="00E40F70">
        <w:rPr>
          <w:rFonts w:ascii="Arial" w:hAnsi="Arial" w:cs="Arial"/>
          <w:sz w:val="22"/>
          <w:szCs w:val="22"/>
          <w:lang w:val="en-US"/>
        </w:rPr>
        <w:t>:</w:t>
      </w:r>
      <w:r w:rsidR="00616F9A" w:rsidRPr="00E40F70">
        <w:rPr>
          <w:rStyle w:val="pages"/>
          <w:rFonts w:ascii="Arial" w:hAnsi="Arial" w:cs="Arial"/>
          <w:sz w:val="22"/>
          <w:szCs w:val="22"/>
          <w:lang w:val="en-US"/>
        </w:rPr>
        <w:t>1035-1040</w:t>
      </w:r>
      <w:r w:rsidR="00616F9A" w:rsidRPr="00E40F70">
        <w:rPr>
          <w:rFonts w:ascii="Arial" w:hAnsi="Arial" w:cs="Arial"/>
          <w:sz w:val="22"/>
          <w:szCs w:val="22"/>
          <w:lang w:val="en-US"/>
        </w:rPr>
        <w:t xml:space="preserve">, 2007 </w:t>
      </w:r>
    </w:p>
    <w:p w14:paraId="1C448CF8"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Günesacar R, Opelz G, Erken E, Pelzl S, Döhler B, Ruhenstroth A, </w:t>
      </w:r>
      <w:r w:rsidRPr="00E40F70">
        <w:rPr>
          <w:rFonts w:ascii="Arial" w:hAnsi="Arial" w:cs="Arial"/>
          <w:b/>
          <w:sz w:val="22"/>
          <w:szCs w:val="22"/>
          <w:lang w:val="en-US"/>
        </w:rPr>
        <w:t>Süsal C</w:t>
      </w:r>
      <w:r w:rsidRPr="00E40F70">
        <w:rPr>
          <w:rFonts w:ascii="Arial" w:hAnsi="Arial" w:cs="Arial"/>
          <w:sz w:val="22"/>
          <w:szCs w:val="22"/>
          <w:lang w:val="en-US"/>
        </w:rPr>
        <w:t xml:space="preserve">. VEGF 936 C/T gene polymorphism in renal transplant recipients: association of the T allele with good graft outcome. Hum Immunol </w:t>
      </w:r>
      <w:r w:rsidRPr="00E40F70">
        <w:rPr>
          <w:rStyle w:val="volume"/>
          <w:rFonts w:ascii="Arial" w:hAnsi="Arial" w:cs="Arial"/>
          <w:sz w:val="22"/>
          <w:szCs w:val="22"/>
          <w:lang w:val="en-US"/>
        </w:rPr>
        <w:t>68</w:t>
      </w:r>
      <w:r w:rsidRPr="00E40F70">
        <w:rPr>
          <w:rFonts w:ascii="Arial" w:hAnsi="Arial" w:cs="Arial"/>
          <w:sz w:val="22"/>
          <w:szCs w:val="22"/>
          <w:lang w:val="en-US"/>
        </w:rPr>
        <w:t>:</w:t>
      </w:r>
      <w:r w:rsidRPr="00E40F70">
        <w:rPr>
          <w:rStyle w:val="pages"/>
          <w:rFonts w:ascii="Arial" w:hAnsi="Arial" w:cs="Arial"/>
          <w:sz w:val="22"/>
          <w:szCs w:val="22"/>
          <w:lang w:val="en-US"/>
        </w:rPr>
        <w:t>599-602, 2007</w:t>
      </w:r>
      <w:r w:rsidRPr="00E40F70">
        <w:rPr>
          <w:rFonts w:ascii="Arial" w:hAnsi="Arial" w:cs="Arial"/>
          <w:sz w:val="22"/>
          <w:szCs w:val="22"/>
          <w:lang w:val="en-US"/>
        </w:rPr>
        <w:t xml:space="preserve"> </w:t>
      </w:r>
    </w:p>
    <w:p w14:paraId="0CE0D380" w14:textId="77777777" w:rsidR="00616F9A" w:rsidRPr="00E40F70" w:rsidRDefault="00CF3246" w:rsidP="00616F9A">
      <w:pPr>
        <w:numPr>
          <w:ilvl w:val="0"/>
          <w:numId w:val="1"/>
        </w:numPr>
        <w:tabs>
          <w:tab w:val="left" w:pos="0"/>
        </w:tabs>
        <w:spacing w:before="120" w:line="320" w:lineRule="exact"/>
        <w:rPr>
          <w:rFonts w:ascii="Arial" w:hAnsi="Arial" w:cs="Arial"/>
          <w:sz w:val="22"/>
          <w:szCs w:val="22"/>
          <w:lang w:val="en-US"/>
        </w:rPr>
      </w:pPr>
      <w:hyperlink r:id="rId21" w:history="1">
        <w:r w:rsidR="00616F9A" w:rsidRPr="00E40F70">
          <w:rPr>
            <w:rStyle w:val="Hyperlink"/>
            <w:rFonts w:ascii="Arial" w:hAnsi="Arial" w:cs="Arial"/>
            <w:bCs/>
            <w:color w:val="auto"/>
            <w:sz w:val="22"/>
            <w:szCs w:val="22"/>
            <w:u w:val="none"/>
            <w:lang w:val="en-US"/>
          </w:rPr>
          <w:t>Rodríguez LM</w:t>
        </w:r>
      </w:hyperlink>
      <w:r w:rsidR="00616F9A" w:rsidRPr="00E40F70">
        <w:rPr>
          <w:rFonts w:ascii="Arial" w:hAnsi="Arial" w:cs="Arial"/>
          <w:sz w:val="22"/>
          <w:szCs w:val="22"/>
          <w:lang w:val="en-US"/>
        </w:rPr>
        <w:t xml:space="preserve">, </w:t>
      </w:r>
      <w:hyperlink r:id="rId22" w:history="1">
        <w:r w:rsidR="00616F9A" w:rsidRPr="00E40F70">
          <w:rPr>
            <w:rStyle w:val="Hyperlink"/>
            <w:rFonts w:ascii="Arial" w:hAnsi="Arial" w:cs="Arial"/>
            <w:bCs/>
            <w:color w:val="auto"/>
            <w:sz w:val="22"/>
            <w:szCs w:val="22"/>
            <w:u w:val="none"/>
            <w:lang w:val="en-US"/>
          </w:rPr>
          <w:t>París SC</w:t>
        </w:r>
      </w:hyperlink>
      <w:r w:rsidR="00616F9A" w:rsidRPr="00E40F70">
        <w:rPr>
          <w:rFonts w:ascii="Arial" w:hAnsi="Arial" w:cs="Arial"/>
          <w:sz w:val="22"/>
          <w:szCs w:val="22"/>
          <w:lang w:val="en-US"/>
        </w:rPr>
        <w:t xml:space="preserve">, </w:t>
      </w:r>
      <w:hyperlink r:id="rId23" w:history="1">
        <w:r w:rsidR="00616F9A" w:rsidRPr="00E40F70">
          <w:rPr>
            <w:rStyle w:val="Hyperlink"/>
            <w:rFonts w:ascii="Arial" w:hAnsi="Arial" w:cs="Arial"/>
            <w:bCs/>
            <w:color w:val="auto"/>
            <w:sz w:val="22"/>
            <w:szCs w:val="22"/>
            <w:u w:val="none"/>
            <w:lang w:val="en-US"/>
          </w:rPr>
          <w:t>Arbeláez M</w:t>
        </w:r>
      </w:hyperlink>
      <w:r w:rsidR="00616F9A" w:rsidRPr="00E40F70">
        <w:rPr>
          <w:rFonts w:ascii="Arial" w:hAnsi="Arial" w:cs="Arial"/>
          <w:sz w:val="22"/>
          <w:szCs w:val="22"/>
          <w:lang w:val="en-US"/>
        </w:rPr>
        <w:t xml:space="preserve">, </w:t>
      </w:r>
      <w:hyperlink r:id="rId24" w:history="1">
        <w:r w:rsidR="00616F9A" w:rsidRPr="00E40F70">
          <w:rPr>
            <w:rStyle w:val="Hyperlink"/>
            <w:rFonts w:ascii="Arial" w:hAnsi="Arial" w:cs="Arial"/>
            <w:bCs/>
            <w:color w:val="auto"/>
            <w:sz w:val="22"/>
            <w:szCs w:val="22"/>
            <w:u w:val="none"/>
            <w:lang w:val="en-US"/>
          </w:rPr>
          <w:t>Cotes JM</w:t>
        </w:r>
      </w:hyperlink>
      <w:r w:rsidR="00616F9A" w:rsidRPr="00E40F70">
        <w:rPr>
          <w:rFonts w:ascii="Arial" w:hAnsi="Arial" w:cs="Arial"/>
          <w:sz w:val="22"/>
          <w:szCs w:val="22"/>
          <w:lang w:val="en-US"/>
        </w:rPr>
        <w:t xml:space="preserve">, </w:t>
      </w:r>
      <w:hyperlink r:id="rId25" w:history="1">
        <w:r w:rsidR="00616F9A" w:rsidRPr="00E40F70">
          <w:rPr>
            <w:rStyle w:val="Hyperlink"/>
            <w:rFonts w:ascii="Arial" w:hAnsi="Arial" w:cs="Arial"/>
            <w:b/>
            <w:bCs/>
            <w:color w:val="auto"/>
            <w:sz w:val="22"/>
            <w:szCs w:val="22"/>
            <w:u w:val="none"/>
            <w:lang w:val="en-US"/>
          </w:rPr>
          <w:t>Süsal C</w:t>
        </w:r>
      </w:hyperlink>
      <w:r w:rsidR="00616F9A" w:rsidRPr="00E40F70">
        <w:rPr>
          <w:rFonts w:ascii="Arial" w:hAnsi="Arial" w:cs="Arial"/>
          <w:sz w:val="22"/>
          <w:szCs w:val="22"/>
          <w:lang w:val="en-US"/>
        </w:rPr>
        <w:t xml:space="preserve">, </w:t>
      </w:r>
      <w:hyperlink r:id="rId26" w:history="1">
        <w:r w:rsidR="00616F9A" w:rsidRPr="00E40F70">
          <w:rPr>
            <w:rStyle w:val="Hyperlink"/>
            <w:rFonts w:ascii="Arial" w:hAnsi="Arial" w:cs="Arial"/>
            <w:bCs/>
            <w:color w:val="auto"/>
            <w:sz w:val="22"/>
            <w:szCs w:val="22"/>
            <w:u w:val="none"/>
            <w:lang w:val="en-US"/>
          </w:rPr>
          <w:t>Torres Y</w:t>
        </w:r>
      </w:hyperlink>
      <w:r w:rsidR="00616F9A" w:rsidRPr="00E40F70">
        <w:rPr>
          <w:rFonts w:ascii="Arial" w:hAnsi="Arial" w:cs="Arial"/>
          <w:sz w:val="22"/>
          <w:szCs w:val="22"/>
          <w:lang w:val="en-US"/>
        </w:rPr>
        <w:t xml:space="preserve">, </w:t>
      </w:r>
      <w:hyperlink r:id="rId27" w:history="1">
        <w:r w:rsidR="00616F9A" w:rsidRPr="00E40F70">
          <w:rPr>
            <w:rStyle w:val="Hyperlink"/>
            <w:rFonts w:ascii="Arial" w:hAnsi="Arial" w:cs="Arial"/>
            <w:bCs/>
            <w:color w:val="auto"/>
            <w:sz w:val="22"/>
            <w:szCs w:val="22"/>
            <w:u w:val="none"/>
            <w:lang w:val="en-US"/>
          </w:rPr>
          <w:t>García LF</w:t>
        </w:r>
      </w:hyperlink>
      <w:r w:rsidR="00616F9A" w:rsidRPr="00E40F70">
        <w:rPr>
          <w:rFonts w:ascii="Arial" w:hAnsi="Arial" w:cs="Arial"/>
          <w:sz w:val="22"/>
          <w:szCs w:val="22"/>
          <w:lang w:val="en-US"/>
        </w:rPr>
        <w:t xml:space="preserve">. Kidney graft recipients with pretransplantation HLA class I antibodies and high soluble CD30 are at high risk for graft loss. Hum Immunol </w:t>
      </w:r>
      <w:r w:rsidR="00616F9A" w:rsidRPr="00E40F70">
        <w:rPr>
          <w:rStyle w:val="volume"/>
          <w:rFonts w:ascii="Arial" w:hAnsi="Arial" w:cs="Arial"/>
          <w:sz w:val="22"/>
          <w:szCs w:val="22"/>
          <w:lang w:val="en-US"/>
        </w:rPr>
        <w:t>68</w:t>
      </w:r>
      <w:r w:rsidR="00616F9A" w:rsidRPr="00E40F70">
        <w:rPr>
          <w:rFonts w:ascii="Arial" w:hAnsi="Arial" w:cs="Arial"/>
          <w:sz w:val="22"/>
          <w:szCs w:val="22"/>
          <w:lang w:val="en-US"/>
        </w:rPr>
        <w:t>:</w:t>
      </w:r>
      <w:r w:rsidR="00616F9A" w:rsidRPr="00E40F70">
        <w:rPr>
          <w:rStyle w:val="pages"/>
          <w:rFonts w:ascii="Arial" w:hAnsi="Arial" w:cs="Arial"/>
          <w:sz w:val="22"/>
          <w:szCs w:val="22"/>
          <w:lang w:val="en-US"/>
        </w:rPr>
        <w:t xml:space="preserve">652-660, 2007 </w:t>
      </w:r>
    </w:p>
    <w:p w14:paraId="281E7AF7" w14:textId="77777777" w:rsidR="00616F9A" w:rsidRPr="00E40F70" w:rsidRDefault="00CF3246" w:rsidP="00616F9A">
      <w:pPr>
        <w:numPr>
          <w:ilvl w:val="0"/>
          <w:numId w:val="1"/>
        </w:numPr>
        <w:tabs>
          <w:tab w:val="left" w:pos="0"/>
          <w:tab w:val="left" w:pos="851"/>
        </w:tabs>
        <w:spacing w:before="120" w:line="320" w:lineRule="exact"/>
        <w:rPr>
          <w:rFonts w:ascii="Arial" w:hAnsi="Arial" w:cs="Arial"/>
          <w:sz w:val="22"/>
          <w:szCs w:val="22"/>
          <w:lang w:val="en-US"/>
        </w:rPr>
      </w:pPr>
      <w:hyperlink r:id="rId28" w:history="1">
        <w:r w:rsidR="00616F9A" w:rsidRPr="00E40F70">
          <w:rPr>
            <w:rStyle w:val="Hyperlink"/>
            <w:rFonts w:ascii="Arial" w:hAnsi="Arial" w:cs="Arial"/>
            <w:bCs/>
            <w:color w:val="auto"/>
            <w:sz w:val="22"/>
            <w:szCs w:val="22"/>
            <w:u w:val="none"/>
            <w:lang w:val="en-US"/>
          </w:rPr>
          <w:t>Zou Y</w:t>
        </w:r>
      </w:hyperlink>
      <w:r w:rsidR="00616F9A" w:rsidRPr="00E40F70">
        <w:rPr>
          <w:rFonts w:ascii="Arial" w:hAnsi="Arial" w:cs="Arial"/>
          <w:sz w:val="22"/>
          <w:szCs w:val="22"/>
          <w:lang w:val="en-US"/>
        </w:rPr>
        <w:t xml:space="preserve">, </w:t>
      </w:r>
      <w:hyperlink r:id="rId29" w:history="1">
        <w:r w:rsidR="00616F9A" w:rsidRPr="00E40F70">
          <w:rPr>
            <w:rStyle w:val="Hyperlink"/>
            <w:rFonts w:ascii="Arial" w:hAnsi="Arial" w:cs="Arial"/>
            <w:bCs/>
            <w:color w:val="auto"/>
            <w:sz w:val="22"/>
            <w:szCs w:val="22"/>
            <w:u w:val="none"/>
            <w:lang w:val="en-US"/>
          </w:rPr>
          <w:t>Stastny P</w:t>
        </w:r>
      </w:hyperlink>
      <w:r w:rsidR="00616F9A" w:rsidRPr="00E40F70">
        <w:rPr>
          <w:rFonts w:ascii="Arial" w:hAnsi="Arial" w:cs="Arial"/>
          <w:sz w:val="22"/>
          <w:szCs w:val="22"/>
          <w:lang w:val="en-US"/>
        </w:rPr>
        <w:t xml:space="preserve">, </w:t>
      </w:r>
      <w:hyperlink r:id="rId30" w:history="1">
        <w:r w:rsidR="00616F9A" w:rsidRPr="00E40F70">
          <w:rPr>
            <w:rStyle w:val="Hyperlink"/>
            <w:rFonts w:ascii="Arial" w:hAnsi="Arial" w:cs="Arial"/>
            <w:b/>
            <w:bCs/>
            <w:color w:val="auto"/>
            <w:sz w:val="22"/>
            <w:szCs w:val="22"/>
            <w:u w:val="none"/>
            <w:lang w:val="en-US"/>
          </w:rPr>
          <w:t>Süsal C</w:t>
        </w:r>
      </w:hyperlink>
      <w:r w:rsidR="00616F9A" w:rsidRPr="00E40F70">
        <w:rPr>
          <w:rFonts w:ascii="Arial" w:hAnsi="Arial" w:cs="Arial"/>
          <w:sz w:val="22"/>
          <w:szCs w:val="22"/>
          <w:lang w:val="en-US"/>
        </w:rPr>
        <w:t xml:space="preserve">, </w:t>
      </w:r>
      <w:hyperlink r:id="rId31" w:history="1">
        <w:r w:rsidR="00616F9A" w:rsidRPr="00E40F70">
          <w:rPr>
            <w:rStyle w:val="Hyperlink"/>
            <w:rFonts w:ascii="Arial" w:hAnsi="Arial" w:cs="Arial"/>
            <w:bCs/>
            <w:color w:val="auto"/>
            <w:sz w:val="22"/>
            <w:szCs w:val="22"/>
            <w:u w:val="none"/>
            <w:lang w:val="en-US"/>
          </w:rPr>
          <w:t>Döhler B</w:t>
        </w:r>
      </w:hyperlink>
      <w:r w:rsidR="00616F9A" w:rsidRPr="00E40F70">
        <w:rPr>
          <w:rFonts w:ascii="Arial" w:hAnsi="Arial" w:cs="Arial"/>
          <w:sz w:val="22"/>
          <w:szCs w:val="22"/>
          <w:lang w:val="en-US"/>
        </w:rPr>
        <w:t xml:space="preserve">, </w:t>
      </w:r>
      <w:hyperlink r:id="rId32" w:history="1">
        <w:r w:rsidR="00616F9A" w:rsidRPr="00E40F70">
          <w:rPr>
            <w:rStyle w:val="Hyperlink"/>
            <w:rFonts w:ascii="Arial" w:hAnsi="Arial" w:cs="Arial"/>
            <w:bCs/>
            <w:color w:val="auto"/>
            <w:sz w:val="22"/>
            <w:szCs w:val="22"/>
            <w:u w:val="none"/>
            <w:lang w:val="en-US"/>
          </w:rPr>
          <w:t>Opelz G</w:t>
        </w:r>
      </w:hyperlink>
      <w:r w:rsidR="00616F9A" w:rsidRPr="00E40F70">
        <w:rPr>
          <w:rFonts w:ascii="Arial" w:hAnsi="Arial" w:cs="Arial"/>
          <w:sz w:val="22"/>
          <w:szCs w:val="22"/>
          <w:lang w:val="en-US"/>
        </w:rPr>
        <w:t xml:space="preserve">. Antibodies against MICA antigens and kidney-transplant rejection. N Engl J Med 357:1293-1300, 2007 </w:t>
      </w:r>
    </w:p>
    <w:p w14:paraId="346028AD"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Billing H, Rieger S, Ovens J, </w:t>
      </w:r>
      <w:r w:rsidRPr="00E40F70">
        <w:rPr>
          <w:rFonts w:ascii="Arial" w:hAnsi="Arial" w:cs="Arial"/>
          <w:b/>
          <w:sz w:val="22"/>
          <w:szCs w:val="22"/>
          <w:lang w:val="en-US"/>
        </w:rPr>
        <w:t>Süsal C</w:t>
      </w:r>
      <w:r w:rsidRPr="00E40F70">
        <w:rPr>
          <w:rFonts w:ascii="Arial" w:hAnsi="Arial" w:cs="Arial"/>
          <w:sz w:val="22"/>
          <w:szCs w:val="22"/>
          <w:lang w:val="en-US"/>
        </w:rPr>
        <w:t xml:space="preserve">, Melk A, Waldherr R, Opelz G, Tönshoff B. Successful treatment of chronic antibody-mediated rejection with IVIG and Rituximab in pediatric renal transplant recipients. Transplantation </w:t>
      </w:r>
      <w:r w:rsidRPr="00E40F70">
        <w:rPr>
          <w:rStyle w:val="src1"/>
          <w:rFonts w:ascii="Arial" w:hAnsi="Arial" w:cs="Arial"/>
          <w:sz w:val="22"/>
          <w:szCs w:val="22"/>
          <w:lang w:val="en-US"/>
          <w:specVanish w:val="0"/>
        </w:rPr>
        <w:t>86:1214-1221, 2008</w:t>
      </w:r>
      <w:r w:rsidRPr="00E40F70">
        <w:rPr>
          <w:rFonts w:ascii="Arial" w:hAnsi="Arial" w:cs="Arial"/>
          <w:sz w:val="22"/>
          <w:szCs w:val="22"/>
          <w:lang w:val="en-US"/>
        </w:rPr>
        <w:t xml:space="preserve"> </w:t>
      </w:r>
    </w:p>
    <w:p w14:paraId="6805519B"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Alvarez C, Opelz G, Garcia LF, </w:t>
      </w:r>
      <w:r w:rsidRPr="00E40F70">
        <w:rPr>
          <w:rFonts w:ascii="Arial" w:hAnsi="Arial" w:cs="Arial"/>
          <w:b/>
          <w:sz w:val="22"/>
          <w:szCs w:val="22"/>
          <w:lang w:val="en-US"/>
        </w:rPr>
        <w:t>Süsal C</w:t>
      </w:r>
      <w:r w:rsidRPr="00E40F70">
        <w:rPr>
          <w:rFonts w:ascii="Arial" w:hAnsi="Arial" w:cs="Arial"/>
          <w:sz w:val="22"/>
          <w:szCs w:val="22"/>
          <w:lang w:val="en-US"/>
        </w:rPr>
        <w:t xml:space="preserve">. Expression of regulatory T cell-related molecule-genes and clinical outcome in kidney transplant recipients. Transplantation </w:t>
      </w:r>
      <w:r w:rsidRPr="00E40F70">
        <w:rPr>
          <w:rStyle w:val="src1"/>
          <w:rFonts w:ascii="Arial" w:hAnsi="Arial" w:cs="Arial"/>
          <w:sz w:val="22"/>
          <w:szCs w:val="22"/>
          <w:lang w:val="en-US"/>
          <w:specVanish w:val="0"/>
        </w:rPr>
        <w:t>87:857-863, 2009</w:t>
      </w:r>
      <w:r w:rsidRPr="00E40F70">
        <w:rPr>
          <w:rStyle w:val="pages"/>
          <w:rFonts w:ascii="Arial" w:hAnsi="Arial" w:cs="Arial"/>
          <w:b/>
          <w:sz w:val="22"/>
          <w:szCs w:val="22"/>
          <w:lang w:val="en-US"/>
        </w:rPr>
        <w:t xml:space="preserve"> </w:t>
      </w:r>
    </w:p>
    <w:p w14:paraId="2F18A291"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Beimler JHM, Morath C, Schmidt J, Ovens J, Opelz G, Rahmel A, Zeier M, </w:t>
      </w:r>
      <w:r w:rsidRPr="00E40F70">
        <w:rPr>
          <w:rFonts w:ascii="Arial" w:hAnsi="Arial" w:cs="Arial"/>
          <w:b/>
          <w:sz w:val="22"/>
          <w:szCs w:val="22"/>
          <w:lang w:val="en-US"/>
        </w:rPr>
        <w:t>Süsal C</w:t>
      </w:r>
      <w:r w:rsidRPr="00E40F70">
        <w:rPr>
          <w:rFonts w:ascii="Arial" w:hAnsi="Arial" w:cs="Arial"/>
          <w:sz w:val="22"/>
          <w:szCs w:val="22"/>
          <w:lang w:val="en-US"/>
        </w:rPr>
        <w:t xml:space="preserve">. Successful deceased donor kidney transplantation in crossmatch-positive patients with peritransplant plasma exchange and Rituximab. Transplantation </w:t>
      </w:r>
      <w:r>
        <w:rPr>
          <w:rStyle w:val="src1"/>
          <w:rFonts w:ascii="Arial" w:hAnsi="Arial" w:cs="Arial"/>
          <w:sz w:val="22"/>
          <w:szCs w:val="22"/>
          <w:lang w:val="en-US"/>
          <w:specVanish w:val="0"/>
        </w:rPr>
        <w:t>87:</w:t>
      </w:r>
      <w:r w:rsidRPr="00E40F70">
        <w:rPr>
          <w:rStyle w:val="src1"/>
          <w:rFonts w:ascii="Arial" w:hAnsi="Arial" w:cs="Arial"/>
          <w:sz w:val="22"/>
          <w:szCs w:val="22"/>
          <w:lang w:val="en-US"/>
          <w:specVanish w:val="0"/>
        </w:rPr>
        <w:t>668-671, 2009</w:t>
      </w:r>
      <w:r w:rsidRPr="00E40F70">
        <w:rPr>
          <w:rStyle w:val="pages"/>
          <w:rFonts w:ascii="Arial" w:hAnsi="Arial" w:cs="Arial"/>
          <w:b/>
          <w:sz w:val="22"/>
          <w:szCs w:val="22"/>
          <w:lang w:val="en-US"/>
        </w:rPr>
        <w:t xml:space="preserve"> </w:t>
      </w:r>
    </w:p>
    <w:p w14:paraId="5F2166CC"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Döhler B, Sadeghi M, Ovens J, Opelz G. HLA antibodies and the occurrence of early adverse events in the modern era of transplantation. Transplantation </w:t>
      </w:r>
      <w:r w:rsidRPr="00E40F70">
        <w:rPr>
          <w:rStyle w:val="src1"/>
          <w:rFonts w:ascii="Arial" w:hAnsi="Arial" w:cs="Arial"/>
          <w:sz w:val="22"/>
          <w:szCs w:val="22"/>
          <w:lang w:val="en-US"/>
          <w:specVanish w:val="0"/>
        </w:rPr>
        <w:t xml:space="preserve">87:1367-1371, 2009 </w:t>
      </w:r>
    </w:p>
    <w:p w14:paraId="1F717CF3"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Döhler B, Opelz G. </w:t>
      </w:r>
      <w:hyperlink r:id="rId33" w:history="1">
        <w:r w:rsidRPr="00E40F70">
          <w:rPr>
            <w:rFonts w:ascii="Arial" w:hAnsi="Arial" w:cs="Arial"/>
            <w:sz w:val="22"/>
            <w:szCs w:val="22"/>
            <w:lang w:val="en-US"/>
          </w:rPr>
          <w:t>Presensitized kidney graft recipients with HLA class I and II antibodies are at increased risk for graft failure: a Collaborative Transplant Study report.</w:t>
        </w:r>
      </w:hyperlink>
      <w:r w:rsidRPr="00E40F70">
        <w:rPr>
          <w:rFonts w:ascii="Arial" w:hAnsi="Arial" w:cs="Arial"/>
          <w:sz w:val="22"/>
          <w:szCs w:val="22"/>
          <w:lang w:val="en-US"/>
        </w:rPr>
        <w:t xml:space="preserve"> Hum Immunol 70:569-573, 2009 </w:t>
      </w:r>
    </w:p>
    <w:p w14:paraId="5FD32BC6"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Opelz G, Döhler B, </w:t>
      </w:r>
      <w:r w:rsidRPr="00E40F70">
        <w:rPr>
          <w:rFonts w:ascii="Arial" w:hAnsi="Arial" w:cs="Arial"/>
          <w:b/>
          <w:sz w:val="22"/>
          <w:szCs w:val="22"/>
          <w:lang w:val="en-US"/>
        </w:rPr>
        <w:t>Süsal C</w:t>
      </w:r>
      <w:r w:rsidRPr="00E40F70">
        <w:rPr>
          <w:rFonts w:ascii="Arial" w:hAnsi="Arial" w:cs="Arial"/>
          <w:sz w:val="22"/>
          <w:szCs w:val="22"/>
          <w:lang w:val="en-US"/>
        </w:rPr>
        <w:t xml:space="preserve">. </w:t>
      </w:r>
      <w:hyperlink r:id="rId34" w:history="1">
        <w:r w:rsidRPr="00E40F70">
          <w:rPr>
            <w:rFonts w:ascii="Arial" w:hAnsi="Arial" w:cs="Arial"/>
            <w:sz w:val="22"/>
            <w:szCs w:val="22"/>
            <w:lang w:val="en-US"/>
          </w:rPr>
          <w:t>Analysis of positive kidney, heart, and liver transplant crossmatches reported to the Collaborative Transplant Study.</w:t>
        </w:r>
      </w:hyperlink>
      <w:r w:rsidRPr="00E40F70">
        <w:rPr>
          <w:rFonts w:ascii="Arial" w:hAnsi="Arial" w:cs="Arial"/>
          <w:sz w:val="22"/>
          <w:szCs w:val="22"/>
          <w:lang w:val="en-US"/>
        </w:rPr>
        <w:t xml:space="preserve"> Hum Immunol 70:627-630, 2009 </w:t>
      </w:r>
    </w:p>
    <w:p w14:paraId="43433F4B"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Németh D, Ovens J, Opelz G, Sommerer C, Döhler B, Becker LE, Gross ML, Waldherr R, Mieth M, Sadeghi M, Schmidt J, Langer RM, Zeier M, </w:t>
      </w:r>
      <w:r w:rsidRPr="00E40F70">
        <w:rPr>
          <w:rFonts w:ascii="Arial" w:hAnsi="Arial" w:cs="Arial"/>
          <w:b/>
          <w:sz w:val="22"/>
          <w:szCs w:val="22"/>
          <w:lang w:val="en-US"/>
        </w:rPr>
        <w:t>Süsal C</w:t>
      </w:r>
      <w:r w:rsidRPr="00E40F70">
        <w:rPr>
          <w:rFonts w:ascii="Arial" w:hAnsi="Arial" w:cs="Arial"/>
          <w:sz w:val="22"/>
          <w:szCs w:val="22"/>
          <w:lang w:val="en-US"/>
        </w:rPr>
        <w:t>.</w:t>
      </w:r>
      <w:r w:rsidRPr="00E40F70">
        <w:rPr>
          <w:rFonts w:ascii="Arial" w:hAnsi="Arial" w:cs="Arial"/>
          <w:bCs/>
          <w:sz w:val="22"/>
          <w:szCs w:val="22"/>
          <w:lang w:val="en-US"/>
        </w:rPr>
        <w:t xml:space="preserve"> Does borderline kidney allograft rejection always require treatment?</w:t>
      </w:r>
      <w:r w:rsidRPr="00E40F70">
        <w:rPr>
          <w:rFonts w:ascii="Arial" w:hAnsi="Arial" w:cs="Arial"/>
          <w:sz w:val="22"/>
          <w:szCs w:val="22"/>
          <w:lang w:val="en-US"/>
        </w:rPr>
        <w:t xml:space="preserve"> </w:t>
      </w:r>
      <w:hyperlink r:id="rId35" w:tooltip="Transplantation." w:history="1">
        <w:r w:rsidRPr="00E40F70">
          <w:rPr>
            <w:rStyle w:val="Hyperlink"/>
            <w:rFonts w:ascii="Arial" w:hAnsi="Arial" w:cs="Arial"/>
            <w:color w:val="auto"/>
            <w:sz w:val="22"/>
            <w:szCs w:val="22"/>
            <w:u w:val="none"/>
            <w:lang w:val="en-US"/>
          </w:rPr>
          <w:t>Transplantation</w:t>
        </w:r>
      </w:hyperlink>
      <w:r w:rsidRPr="00E40F70">
        <w:rPr>
          <w:rFonts w:ascii="Arial" w:hAnsi="Arial" w:cs="Arial"/>
          <w:sz w:val="22"/>
          <w:szCs w:val="22"/>
          <w:lang w:val="en-US"/>
        </w:rPr>
        <w:t xml:space="preserve"> 90:427-432, 2010 </w:t>
      </w:r>
    </w:p>
    <w:p w14:paraId="05DFFD76"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sz w:val="22"/>
          <w:szCs w:val="22"/>
          <w:lang w:val="en-US"/>
        </w:rPr>
        <w:t xml:space="preserve">Morath C, Beimler J, Opelz G, Ovens J, Scherer S, Schmidt J, Schmied B, Gross ML, Schwenger V, Zeier M, </w:t>
      </w:r>
      <w:r w:rsidRPr="00E40F70">
        <w:rPr>
          <w:rFonts w:ascii="Arial" w:hAnsi="Arial" w:cs="Arial"/>
          <w:b/>
          <w:sz w:val="22"/>
          <w:szCs w:val="22"/>
          <w:lang w:val="en-US"/>
        </w:rPr>
        <w:t>Süsal C</w:t>
      </w:r>
      <w:r w:rsidRPr="00E40F70">
        <w:rPr>
          <w:rFonts w:ascii="Arial" w:hAnsi="Arial" w:cs="Arial"/>
          <w:sz w:val="22"/>
          <w:szCs w:val="22"/>
          <w:lang w:val="en-US"/>
        </w:rPr>
        <w:t>. An integrative approach for the transplan</w:t>
      </w:r>
      <w:r w:rsidRPr="00E40F70">
        <w:rPr>
          <w:rFonts w:ascii="Arial" w:hAnsi="Arial" w:cs="Arial"/>
          <w:color w:val="000000"/>
          <w:sz w:val="22"/>
          <w:szCs w:val="22"/>
          <w:lang w:val="en-US"/>
        </w:rPr>
        <w:t xml:space="preserve">tation of high-risk sensitized patients. Transplantation </w:t>
      </w:r>
      <w:r w:rsidRPr="00E40F70">
        <w:rPr>
          <w:rFonts w:ascii="Arial" w:hAnsi="Arial" w:cs="Arial"/>
          <w:sz w:val="22"/>
          <w:szCs w:val="22"/>
          <w:lang w:val="en-US"/>
        </w:rPr>
        <w:t>90:645-653, 2010</w:t>
      </w:r>
      <w:r w:rsidRPr="00E40F70">
        <w:rPr>
          <w:rFonts w:ascii="Arial" w:hAnsi="Arial" w:cs="Arial"/>
          <w:color w:val="000000"/>
          <w:sz w:val="22"/>
          <w:szCs w:val="22"/>
          <w:lang w:val="en-US"/>
        </w:rPr>
        <w:t xml:space="preserve"> </w:t>
      </w:r>
    </w:p>
    <w:p w14:paraId="7D0B49D7" w14:textId="77777777" w:rsidR="00616F9A" w:rsidRPr="00E40F70" w:rsidRDefault="00616F9A" w:rsidP="00616F9A">
      <w:pPr>
        <w:numPr>
          <w:ilvl w:val="0"/>
          <w:numId w:val="1"/>
        </w:numPr>
        <w:tabs>
          <w:tab w:val="left" w:pos="0"/>
        </w:tabs>
        <w:spacing w:before="120" w:line="320" w:lineRule="exact"/>
        <w:rPr>
          <w:rFonts w:ascii="Arial" w:hAnsi="Arial" w:cs="Arial"/>
          <w:bCs/>
          <w:color w:val="000000"/>
          <w:sz w:val="22"/>
          <w:szCs w:val="22"/>
          <w:lang w:val="en-US"/>
        </w:rPr>
      </w:pPr>
      <w:r w:rsidRPr="00E40F70">
        <w:rPr>
          <w:rFonts w:ascii="Arial" w:hAnsi="Arial" w:cs="Arial"/>
          <w:color w:val="000000"/>
          <w:sz w:val="22"/>
          <w:szCs w:val="22"/>
          <w:lang w:val="en-US"/>
        </w:rPr>
        <w:lastRenderedPageBreak/>
        <w:t xml:space="preserve">Opelz G,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Ruhenstroth A, Döhler B. Impact of HLA compatibility on lung transplant survival and evidence for an HLA restriction phenomenon: a collaborative transplant study report. Transplantation 90:912-917, 2010</w:t>
      </w:r>
      <w:r w:rsidRPr="00E40F70">
        <w:rPr>
          <w:rFonts w:ascii="Arial" w:hAnsi="Arial" w:cs="Arial"/>
          <w:b/>
          <w:color w:val="000000"/>
          <w:sz w:val="22"/>
          <w:szCs w:val="22"/>
          <w:lang w:val="en-US"/>
        </w:rPr>
        <w:t xml:space="preserve"> </w:t>
      </w:r>
    </w:p>
    <w:p w14:paraId="351CC33A"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bookmarkStart w:id="1" w:name="OLE_LINK7"/>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Ovens J, Mahmoud K, Döhler B, Scherer S, Ruhenstroth A, Tran TH, Heinold A, Opelz G. </w:t>
      </w:r>
      <w:hyperlink r:id="rId36" w:history="1">
        <w:r w:rsidRPr="00E40F70">
          <w:rPr>
            <w:rStyle w:val="Hyperlink"/>
            <w:rFonts w:ascii="Arial" w:hAnsi="Arial" w:cs="Arial"/>
            <w:color w:val="000000"/>
            <w:sz w:val="22"/>
            <w:szCs w:val="22"/>
            <w:u w:val="none"/>
            <w:lang w:val="en-US"/>
          </w:rPr>
          <w:t>No association of kidney graft loss with human leukocyte antigen antibodies detected exclusively by sensitive Luminex single-antigen testing: a Collaborative Transplant Study report.</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Transplantation</w:t>
      </w:r>
      <w:r w:rsidRPr="00E40F70">
        <w:rPr>
          <w:rFonts w:ascii="Arial" w:hAnsi="Arial" w:cs="Arial"/>
          <w:color w:val="000000"/>
          <w:sz w:val="22"/>
          <w:szCs w:val="22"/>
          <w:lang w:val="en-US"/>
        </w:rPr>
        <w:t xml:space="preserve"> 91:883-887, 2011 </w:t>
      </w:r>
    </w:p>
    <w:p w14:paraId="2B7A674E"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sz w:val="22"/>
          <w:szCs w:val="22"/>
          <w:lang w:val="en-US"/>
        </w:rPr>
        <w:t xml:space="preserve">Pavlova Y, Viklicky O, Slatinska </w:t>
      </w:r>
      <w:r w:rsidRPr="00E40F70">
        <w:rPr>
          <w:rFonts w:ascii="Arial" w:hAnsi="Arial" w:cs="Arial"/>
          <w:color w:val="000000"/>
          <w:sz w:val="22"/>
          <w:szCs w:val="22"/>
          <w:lang w:val="en-US"/>
        </w:rPr>
        <w:t>J, Bürgelova M,</w:t>
      </w:r>
      <w:r w:rsidRPr="00E40F70">
        <w:rPr>
          <w:rFonts w:ascii="Arial" w:hAnsi="Arial" w:cs="Arial"/>
          <w:b/>
          <w:color w:val="000000"/>
          <w:sz w:val="22"/>
          <w:szCs w:val="22"/>
          <w:lang w:val="en-US"/>
        </w:rPr>
        <w:t xml:space="preserve"> Süsal C</w:t>
      </w:r>
      <w:r w:rsidRPr="00E40F70">
        <w:rPr>
          <w:rFonts w:ascii="Arial" w:hAnsi="Arial" w:cs="Arial"/>
          <w:color w:val="000000"/>
          <w:sz w:val="22"/>
          <w:szCs w:val="22"/>
          <w:lang w:val="en-US"/>
        </w:rPr>
        <w:t xml:space="preserve">, Skibova J, Honsová E, Striz I, Kolesar L, Slavcev A. </w:t>
      </w:r>
      <w:hyperlink r:id="rId37" w:history="1">
        <w:r w:rsidRPr="00E40F70">
          <w:rPr>
            <w:rStyle w:val="Hyperlink"/>
            <w:rFonts w:ascii="Arial" w:hAnsi="Arial" w:cs="Arial"/>
            <w:color w:val="000000"/>
            <w:sz w:val="22"/>
            <w:szCs w:val="22"/>
            <w:u w:val="none"/>
            <w:lang w:val="en-US"/>
          </w:rPr>
          <w:t>Soluble CD30 and hepatocyte growth factor as predictive markers of antibody-mediated rejection of the kidney allograft.</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Transpl Immunol</w:t>
      </w:r>
      <w:r w:rsidRPr="00E40F70">
        <w:rPr>
          <w:rFonts w:ascii="Arial" w:hAnsi="Arial" w:cs="Arial"/>
          <w:color w:val="000000"/>
          <w:sz w:val="22"/>
          <w:szCs w:val="22"/>
          <w:lang w:val="en-US"/>
        </w:rPr>
        <w:t xml:space="preserve"> 25:72-76, 2011 </w:t>
      </w:r>
    </w:p>
    <w:p w14:paraId="11D9F002"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color w:val="000000"/>
          <w:sz w:val="22"/>
          <w:szCs w:val="22"/>
          <w:lang w:val="en-US"/>
        </w:rPr>
        <w:t xml:space="preserve">Morath C, Opelz G, Zeier M,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w:t>
      </w:r>
      <w:hyperlink r:id="rId38" w:history="1">
        <w:r w:rsidRPr="00E40F70">
          <w:rPr>
            <w:rStyle w:val="Hyperlink"/>
            <w:rFonts w:ascii="Arial" w:hAnsi="Arial" w:cs="Arial"/>
            <w:color w:val="000000"/>
            <w:sz w:val="22"/>
            <w:szCs w:val="22"/>
            <w:u w:val="none"/>
            <w:lang w:val="en-US"/>
          </w:rPr>
          <w:t>Kidney transplantation for high-risk sensitized patients - the "Heidelberg algorithm".</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 xml:space="preserve">Transplant Proc </w:t>
      </w:r>
      <w:r w:rsidRPr="00E40F70">
        <w:rPr>
          <w:rFonts w:ascii="Arial" w:hAnsi="Arial" w:cs="Arial"/>
          <w:color w:val="000000"/>
          <w:sz w:val="22"/>
          <w:szCs w:val="22"/>
          <w:lang w:val="en-US"/>
        </w:rPr>
        <w:t xml:space="preserve">43:801-804, 2011 </w:t>
      </w:r>
    </w:p>
    <w:p w14:paraId="70D939F1"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Döhler B, Salmela KT, Weimer, Sadeghi M, Opelz G. Posttransplant sCD30 as a predictor of kidney graft outcome Transplantation 91:1364-1369, 2011</w:t>
      </w:r>
      <w:r w:rsidRPr="00E40F70">
        <w:rPr>
          <w:rStyle w:val="pages"/>
          <w:rFonts w:ascii="Arial" w:hAnsi="Arial" w:cs="Arial"/>
          <w:color w:val="000000"/>
          <w:sz w:val="22"/>
          <w:szCs w:val="22"/>
          <w:lang w:val="en-US"/>
        </w:rPr>
        <w:t xml:space="preserve"> </w:t>
      </w:r>
    </w:p>
    <w:p w14:paraId="5890BBC0"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color w:val="000000"/>
          <w:sz w:val="22"/>
          <w:szCs w:val="22"/>
          <w:lang w:val="en-US"/>
        </w:rPr>
        <w:t xml:space="preserve">Morath C, Becker LE, Leo A, Beimler J, Klein K, Seckinger J, Kihm LP, Schemmer P, Macher-Goeppinger S, Wahrmann M, Böhmig GA, Opelz G,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Zeier M, Schwenger V.</w:t>
      </w:r>
      <w:r w:rsidRPr="00E40F70">
        <w:rPr>
          <w:rFonts w:ascii="Arial" w:hAnsi="Arial" w:cs="Arial"/>
          <w:color w:val="000000"/>
          <w:sz w:val="22"/>
          <w:szCs w:val="22"/>
          <w:vertAlign w:val="superscript"/>
          <w:lang w:val="en-US"/>
        </w:rPr>
        <w:t xml:space="preserve">. </w:t>
      </w:r>
      <w:r w:rsidRPr="00E40F70">
        <w:rPr>
          <w:rFonts w:ascii="Arial" w:hAnsi="Arial" w:cs="Arial"/>
          <w:color w:val="000000"/>
          <w:sz w:val="22"/>
          <w:szCs w:val="22"/>
          <w:lang w:val="en-US"/>
        </w:rPr>
        <w:t xml:space="preserve">ABO-incompatible kidney transplantation enabled by non-antigen-specific immunoadsorption. </w:t>
      </w:r>
      <w:r w:rsidRPr="00E40F70">
        <w:rPr>
          <w:rStyle w:val="jrnl"/>
          <w:rFonts w:ascii="Arial" w:hAnsi="Arial" w:cs="Arial"/>
          <w:sz w:val="22"/>
          <w:szCs w:val="22"/>
          <w:lang w:val="en-US"/>
        </w:rPr>
        <w:t>Transplantation</w:t>
      </w:r>
      <w:r w:rsidRPr="00E40F70">
        <w:rPr>
          <w:rFonts w:ascii="Arial" w:hAnsi="Arial" w:cs="Arial"/>
          <w:sz w:val="22"/>
          <w:szCs w:val="22"/>
          <w:lang w:val="en-US"/>
        </w:rPr>
        <w:t xml:space="preserve"> 93:827-834, 2012</w:t>
      </w:r>
      <w:r w:rsidRPr="00E40F70">
        <w:rPr>
          <w:rFonts w:ascii="Arial" w:hAnsi="Arial" w:cs="Arial"/>
          <w:color w:val="000000"/>
          <w:sz w:val="22"/>
          <w:szCs w:val="22"/>
          <w:lang w:val="en-US"/>
        </w:rPr>
        <w:t xml:space="preserve"> </w:t>
      </w:r>
    </w:p>
    <w:p w14:paraId="437F8F7D" w14:textId="77777777" w:rsidR="00616F9A" w:rsidRPr="00E40F70" w:rsidRDefault="00616F9A" w:rsidP="00616F9A">
      <w:pPr>
        <w:numPr>
          <w:ilvl w:val="0"/>
          <w:numId w:val="1"/>
        </w:numPr>
        <w:spacing w:before="120" w:line="320" w:lineRule="exact"/>
        <w:rPr>
          <w:rFonts w:ascii="Arial" w:hAnsi="Arial" w:cs="Arial"/>
          <w:color w:val="000000"/>
          <w:sz w:val="22"/>
          <w:szCs w:val="22"/>
          <w:lang w:val="en-US"/>
        </w:rPr>
      </w:pPr>
      <w:r w:rsidRPr="00E40F70">
        <w:rPr>
          <w:rFonts w:ascii="Arial" w:hAnsi="Arial" w:cs="Arial"/>
          <w:color w:val="000000"/>
          <w:sz w:val="22"/>
          <w:szCs w:val="22"/>
          <w:lang w:val="en-US"/>
        </w:rPr>
        <w:t xml:space="preserve">Billing H, Rieger S, </w:t>
      </w:r>
      <w:r w:rsidRPr="00746F20">
        <w:rPr>
          <w:rFonts w:ascii="Arial" w:hAnsi="Arial" w:cs="Arial"/>
          <w:b/>
          <w:color w:val="000000"/>
          <w:sz w:val="22"/>
          <w:szCs w:val="22"/>
          <w:lang w:val="en-US"/>
        </w:rPr>
        <w:t>Süsal C</w:t>
      </w:r>
      <w:r w:rsidRPr="00E40F70">
        <w:rPr>
          <w:rFonts w:ascii="Arial" w:hAnsi="Arial" w:cs="Arial"/>
          <w:color w:val="000000"/>
          <w:sz w:val="22"/>
          <w:szCs w:val="22"/>
          <w:lang w:val="en-US"/>
        </w:rPr>
        <w:t xml:space="preserve">, Waldherr R, Opelz G, Wühl E, Tönshoff B. IVIG and rituximab for treatment of chronic antibody-mediated rejection: a prospective study in paediatric renal transplantation with a 2-year follow-up. Transpl Int 25:1165-1173, 2012 </w:t>
      </w:r>
    </w:p>
    <w:p w14:paraId="0FB086FB"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color w:val="000000"/>
          <w:sz w:val="22"/>
          <w:szCs w:val="22"/>
          <w:lang w:val="en-US"/>
        </w:rPr>
        <w:t xml:space="preserve">Morath C, Beimler J, Opelz G, Scherer S, Schmidt J, Macher-Goeppinger S, Sommerer C, Schwenger S, Zeier M,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w:t>
      </w:r>
      <w:r w:rsidRPr="00E40F70">
        <w:rPr>
          <w:rFonts w:ascii="Arial" w:hAnsi="Arial" w:cs="Arial"/>
          <w:color w:val="000000"/>
          <w:sz w:val="22"/>
          <w:szCs w:val="22"/>
          <w:vertAlign w:val="superscript"/>
          <w:lang w:val="en-US"/>
        </w:rPr>
        <w:t xml:space="preserve"> </w:t>
      </w:r>
      <w:r w:rsidRPr="00E40F70">
        <w:rPr>
          <w:rFonts w:ascii="Arial" w:hAnsi="Arial" w:cs="Arial"/>
          <w:color w:val="000000"/>
          <w:sz w:val="22"/>
          <w:szCs w:val="22"/>
          <w:lang w:val="en-US"/>
        </w:rPr>
        <w:t xml:space="preserve">Living donor kidney transplantation in crossmatch-positive patients enabled by peritransplant immunoadsorption and anti-CD20 therapy. </w:t>
      </w:r>
      <w:r w:rsidRPr="00E40F70">
        <w:rPr>
          <w:rStyle w:val="jrnl"/>
          <w:rFonts w:ascii="Arial" w:hAnsi="Arial" w:cs="Arial"/>
          <w:sz w:val="22"/>
          <w:szCs w:val="22"/>
          <w:lang w:val="en-US"/>
        </w:rPr>
        <w:t>Transpl Int</w:t>
      </w:r>
      <w:r w:rsidRPr="00E40F70">
        <w:rPr>
          <w:rFonts w:ascii="Arial" w:hAnsi="Arial" w:cs="Arial"/>
          <w:sz w:val="22"/>
          <w:szCs w:val="22"/>
          <w:lang w:val="en-US"/>
        </w:rPr>
        <w:t xml:space="preserve"> 25:506-517, 2012 </w:t>
      </w:r>
    </w:p>
    <w:p w14:paraId="0236F320"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eastAsia="en-US"/>
        </w:rPr>
        <w:t xml:space="preserve">Velásquez SY,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Opelz G, García LF, Alvarez CM. Alloantigen-stimulated induction </w:t>
      </w:r>
      <w:r w:rsidRPr="00E40F70">
        <w:rPr>
          <w:rFonts w:ascii="Arial" w:hAnsi="Arial" w:cs="Arial"/>
          <w:sz w:val="22"/>
          <w:szCs w:val="22"/>
          <w:lang w:val="en-US"/>
        </w:rPr>
        <w:t>and</w:t>
      </w:r>
      <w:r w:rsidRPr="00E40F70">
        <w:rPr>
          <w:rFonts w:ascii="Arial" w:hAnsi="Arial" w:cs="Arial"/>
          <w:sz w:val="22"/>
          <w:szCs w:val="22"/>
          <w:lang w:val="en-US" w:eastAsia="en-US"/>
        </w:rPr>
        <w:t xml:space="preserve"> release of CD30 in patients with end-stage renal failure. Hum Immunol 73:1102-1108, 2012</w:t>
      </w:r>
      <w:r w:rsidRPr="00E40F70">
        <w:rPr>
          <w:rFonts w:ascii="Arial" w:hAnsi="Arial" w:cs="Arial"/>
          <w:sz w:val="22"/>
          <w:szCs w:val="22"/>
          <w:lang w:val="en-US"/>
        </w:rPr>
        <w:t xml:space="preserve"> </w:t>
      </w:r>
    </w:p>
    <w:p w14:paraId="1119BEFC" w14:textId="77777777" w:rsidR="00616F9A" w:rsidRPr="00E40F70" w:rsidRDefault="00616F9A" w:rsidP="00616F9A">
      <w:pPr>
        <w:numPr>
          <w:ilvl w:val="0"/>
          <w:numId w:val="1"/>
        </w:numPr>
        <w:tabs>
          <w:tab w:val="left" w:pos="0"/>
        </w:tabs>
        <w:spacing w:before="120" w:line="320" w:lineRule="exact"/>
        <w:rPr>
          <w:rFonts w:ascii="Arial" w:hAnsi="Arial" w:cs="Arial"/>
          <w:b/>
          <w:sz w:val="22"/>
          <w:szCs w:val="22"/>
          <w:lang w:val="en-US" w:eastAsia="en-US"/>
        </w:rPr>
      </w:pPr>
      <w:r w:rsidRPr="00E40F70">
        <w:rPr>
          <w:rFonts w:ascii="Arial" w:hAnsi="Arial" w:cs="Arial"/>
          <w:sz w:val="22"/>
          <w:szCs w:val="22"/>
          <w:lang w:val="en-US" w:eastAsia="en-US"/>
        </w:rPr>
        <w:t xml:space="preserve">Klein K,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Schäfer SM, Becker LE, Beimler J, Schwenger V, Zeier M, Schemmer P, Macher-Goeppinger S, Scherer S, Opelz G, Morath C. </w:t>
      </w:r>
      <w:hyperlink r:id="rId39" w:history="1">
        <w:r w:rsidRPr="00E40F70">
          <w:rPr>
            <w:rFonts w:ascii="Arial" w:hAnsi="Arial" w:cs="Arial"/>
            <w:sz w:val="22"/>
            <w:szCs w:val="22"/>
            <w:lang w:val="en-US" w:eastAsia="en-US"/>
          </w:rPr>
          <w:t xml:space="preserve">Living donor kidney transplantation in patients with </w:t>
        </w:r>
        <w:r w:rsidRPr="00E40F70">
          <w:rPr>
            <w:rFonts w:ascii="Arial" w:hAnsi="Arial" w:cs="Arial"/>
            <w:color w:val="000000"/>
            <w:sz w:val="22"/>
            <w:szCs w:val="22"/>
            <w:lang w:val="en-US"/>
          </w:rPr>
          <w:t>donor</w:t>
        </w:r>
        <w:r w:rsidRPr="00E40F70">
          <w:rPr>
            <w:rFonts w:ascii="Arial" w:hAnsi="Arial" w:cs="Arial"/>
            <w:sz w:val="22"/>
            <w:szCs w:val="22"/>
            <w:lang w:val="en-US" w:eastAsia="en-US"/>
          </w:rPr>
          <w:t>-specific HLA antibodies enabled by anti-CD20 therapy and peritransplant apheresis.</w:t>
        </w:r>
      </w:hyperlink>
      <w:r w:rsidRPr="00E40F70">
        <w:rPr>
          <w:rFonts w:ascii="Arial" w:hAnsi="Arial" w:cs="Arial"/>
          <w:sz w:val="22"/>
          <w:szCs w:val="22"/>
          <w:lang w:val="en-US" w:eastAsia="en-US"/>
        </w:rPr>
        <w:t xml:space="preserve"> Atheroscler Suppl 14:199-202, 2013</w:t>
      </w:r>
      <w:r w:rsidRPr="00E40F70">
        <w:rPr>
          <w:rFonts w:ascii="Arial" w:hAnsi="Arial" w:cs="Arial"/>
          <w:b/>
          <w:sz w:val="22"/>
          <w:szCs w:val="22"/>
          <w:lang w:val="en-US" w:eastAsia="en-US"/>
        </w:rPr>
        <w:t xml:space="preserve"> </w:t>
      </w:r>
    </w:p>
    <w:p w14:paraId="23C09168" w14:textId="77777777" w:rsidR="00616F9A" w:rsidRPr="00E40F70" w:rsidRDefault="00616F9A" w:rsidP="00616F9A">
      <w:pPr>
        <w:numPr>
          <w:ilvl w:val="0"/>
          <w:numId w:val="1"/>
        </w:numPr>
        <w:shd w:val="clear" w:color="auto" w:fill="FFFFFF"/>
        <w:spacing w:before="120" w:line="320" w:lineRule="exact"/>
        <w:rPr>
          <w:rFonts w:ascii="Arial" w:hAnsi="Arial" w:cs="Arial"/>
          <w:sz w:val="22"/>
          <w:szCs w:val="22"/>
          <w:lang w:val="en-US"/>
        </w:rPr>
      </w:pP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Roelen DL, Fischer G, Campos EF, Gerbase-DeLima M, Hönger G, Schaub S, Lachmann N, Martorell J, Claas F. </w:t>
      </w:r>
      <w:hyperlink r:id="rId40" w:history="1">
        <w:r w:rsidRPr="00E40F70">
          <w:rPr>
            <w:rFonts w:ascii="Arial" w:hAnsi="Arial" w:cs="Arial"/>
            <w:sz w:val="22"/>
            <w:szCs w:val="22"/>
            <w:lang w:val="en-US" w:eastAsia="en-US"/>
          </w:rPr>
          <w:t>Algorithms for the determination of unacceptable HLA antigen mismatches in kidney transplant recipients.</w:t>
        </w:r>
      </w:hyperlink>
      <w:r w:rsidRPr="00E40F70">
        <w:rPr>
          <w:rFonts w:ascii="Arial" w:hAnsi="Arial" w:cs="Arial"/>
          <w:sz w:val="22"/>
          <w:szCs w:val="22"/>
          <w:lang w:val="en-US" w:eastAsia="en-US"/>
        </w:rPr>
        <w:t xml:space="preserve"> Tissue Antigens 82:83-92, 2013 </w:t>
      </w:r>
    </w:p>
    <w:p w14:paraId="2D9714AE" w14:textId="77777777" w:rsidR="00616F9A" w:rsidRPr="00E40F70" w:rsidRDefault="00616F9A" w:rsidP="00616F9A">
      <w:pPr>
        <w:numPr>
          <w:ilvl w:val="0"/>
          <w:numId w:val="1"/>
        </w:numPr>
        <w:shd w:val="clear" w:color="auto" w:fill="FFFFFF"/>
        <w:spacing w:before="120" w:line="320" w:lineRule="exact"/>
        <w:rPr>
          <w:rFonts w:ascii="Arial" w:hAnsi="Arial" w:cs="Arial"/>
          <w:sz w:val="22"/>
          <w:szCs w:val="22"/>
          <w:lang w:val="en-US" w:eastAsia="en-US"/>
        </w:rPr>
      </w:pPr>
      <w:r w:rsidRPr="00E40F70">
        <w:rPr>
          <w:rFonts w:ascii="Arial" w:hAnsi="Arial" w:cs="Arial"/>
          <w:sz w:val="22"/>
          <w:szCs w:val="22"/>
          <w:lang w:val="en-US" w:eastAsia="en-US"/>
        </w:rPr>
        <w:lastRenderedPageBreak/>
        <w:t xml:space="preserve">Gombos P, Opelz G, Scherer S, Morath C, Zeier M, Schemmer P, Langer RM,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w:t>
      </w:r>
      <w:hyperlink r:id="rId41" w:history="1">
        <w:r w:rsidRPr="00E40F70">
          <w:rPr>
            <w:rFonts w:ascii="Arial" w:hAnsi="Arial" w:cs="Arial"/>
            <w:sz w:val="22"/>
            <w:szCs w:val="22"/>
            <w:lang w:val="en-US" w:eastAsia="en-US"/>
          </w:rPr>
          <w:t>Superiority of AbCross enzyme-linked immunosorbent assay cross-match over the B-cell complement-dependent lymphocytotoxicity cross-match.</w:t>
        </w:r>
      </w:hyperlink>
      <w:r w:rsidRPr="00E40F70">
        <w:rPr>
          <w:rFonts w:ascii="Arial" w:hAnsi="Arial" w:cs="Arial"/>
          <w:sz w:val="22"/>
          <w:szCs w:val="22"/>
          <w:lang w:val="en-US" w:eastAsia="en-US"/>
        </w:rPr>
        <w:t xml:space="preserve"> Transplant Proc 45:1383-1385, 2013 </w:t>
      </w:r>
    </w:p>
    <w:p w14:paraId="18011F25" w14:textId="77777777" w:rsidR="00616F9A" w:rsidRPr="00E40F70" w:rsidRDefault="00616F9A" w:rsidP="00616F9A">
      <w:pPr>
        <w:numPr>
          <w:ilvl w:val="0"/>
          <w:numId w:val="1"/>
        </w:numPr>
        <w:shd w:val="clear" w:color="auto" w:fill="FFFFFF"/>
        <w:spacing w:before="120" w:line="320" w:lineRule="exact"/>
        <w:rPr>
          <w:rFonts w:ascii="Arial" w:hAnsi="Arial" w:cs="Arial"/>
          <w:sz w:val="22"/>
          <w:szCs w:val="22"/>
          <w:lang w:val="en-US" w:eastAsia="en-US"/>
        </w:rPr>
      </w:pPr>
      <w:r w:rsidRPr="00E40F70">
        <w:rPr>
          <w:rFonts w:ascii="Arial" w:hAnsi="Arial" w:cs="Arial"/>
          <w:sz w:val="22"/>
          <w:szCs w:val="22"/>
          <w:lang w:val="en-US" w:eastAsia="en-US"/>
        </w:rPr>
        <w:t xml:space="preserve">Velásquez SY, García LF, Opelz G, Alvarez CM,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Release of soluble CD30 after allogeneic stimulation is mediated by memory T cells and regulated by IFN-γ and IL-2. Transplantation 96:154-161, 2013 </w:t>
      </w:r>
    </w:p>
    <w:p w14:paraId="7E14904D" w14:textId="77777777" w:rsidR="00616F9A" w:rsidRPr="00E40F70" w:rsidRDefault="00616F9A" w:rsidP="00616F9A">
      <w:pPr>
        <w:numPr>
          <w:ilvl w:val="0"/>
          <w:numId w:val="1"/>
        </w:numPr>
        <w:shd w:val="clear" w:color="auto" w:fill="FFFFFF"/>
        <w:spacing w:before="120" w:line="320" w:lineRule="exact"/>
        <w:rPr>
          <w:rStyle w:val="st1"/>
          <w:rFonts w:ascii="Arial" w:hAnsi="Arial"/>
          <w:spacing w:val="5"/>
          <w:kern w:val="28"/>
          <w:sz w:val="22"/>
          <w:szCs w:val="22"/>
          <w:lang w:val="en-US"/>
        </w:rPr>
      </w:pPr>
      <w:r w:rsidRPr="00E40F70">
        <w:rPr>
          <w:rFonts w:ascii="Arial" w:hAnsi="Arial" w:cs="Arial"/>
          <w:sz w:val="22"/>
          <w:szCs w:val="22"/>
          <w:lang w:val="en-US" w:eastAsia="en-US"/>
        </w:rPr>
        <w:t xml:space="preserve">Gombos P, Opelz G, Scherer S, Morath C, Zeier M, Schemmer P, </w:t>
      </w:r>
      <w:r w:rsidRPr="00E40F70">
        <w:rPr>
          <w:rFonts w:ascii="Arial" w:hAnsi="Arial" w:cs="Arial"/>
          <w:b/>
          <w:sz w:val="22"/>
          <w:szCs w:val="22"/>
          <w:lang w:val="en-US" w:eastAsia="en-US"/>
        </w:rPr>
        <w:t>Süsal C</w:t>
      </w:r>
      <w:r w:rsidRPr="00E40F70">
        <w:rPr>
          <w:rFonts w:ascii="Arial" w:hAnsi="Arial" w:cs="Arial"/>
          <w:sz w:val="22"/>
          <w:szCs w:val="22"/>
          <w:lang w:val="en-US" w:eastAsia="en-US"/>
        </w:rPr>
        <w:t>. Influence of test technique on sensitization status of patients on the kidney transplant waiting list. Am J Transplant 13:2075-2082, 2013</w:t>
      </w:r>
      <w:r w:rsidRPr="00E40F70">
        <w:rPr>
          <w:rFonts w:ascii="Arial" w:hAnsi="Arial" w:cs="Arial"/>
          <w:color w:val="444444"/>
          <w:lang w:val="en-US"/>
        </w:rPr>
        <w:t xml:space="preserve"> </w:t>
      </w:r>
    </w:p>
    <w:p w14:paraId="75F0CD36" w14:textId="77777777" w:rsidR="00616F9A" w:rsidRPr="00E40F70" w:rsidRDefault="00616F9A" w:rsidP="00616F9A">
      <w:pPr>
        <w:numPr>
          <w:ilvl w:val="0"/>
          <w:numId w:val="1"/>
        </w:numPr>
        <w:shd w:val="clear" w:color="auto" w:fill="FFFFFF"/>
        <w:spacing w:before="120" w:line="320" w:lineRule="exact"/>
        <w:rPr>
          <w:rFonts w:ascii="Arial" w:hAnsi="Arial"/>
          <w:spacing w:val="5"/>
          <w:kern w:val="28"/>
          <w:sz w:val="22"/>
          <w:szCs w:val="22"/>
          <w:lang w:val="en-US"/>
        </w:rPr>
      </w:pPr>
      <w:r w:rsidRPr="00E40F70">
        <w:rPr>
          <w:rFonts w:ascii="Arial" w:hAnsi="Arial"/>
          <w:spacing w:val="5"/>
          <w:kern w:val="28"/>
          <w:sz w:val="22"/>
          <w:szCs w:val="22"/>
          <w:lang w:val="en-US"/>
        </w:rPr>
        <w:t xml:space="preserve">Billing H, Sander A, </w:t>
      </w:r>
      <w:r w:rsidRPr="00E40F70">
        <w:rPr>
          <w:rFonts w:ascii="Arial" w:hAnsi="Arial"/>
          <w:b/>
          <w:spacing w:val="5"/>
          <w:kern w:val="28"/>
          <w:sz w:val="22"/>
          <w:szCs w:val="22"/>
          <w:lang w:val="en-US"/>
        </w:rPr>
        <w:t>Süsal C</w:t>
      </w:r>
      <w:r w:rsidRPr="00E40F70">
        <w:rPr>
          <w:rFonts w:ascii="Arial" w:hAnsi="Arial"/>
          <w:spacing w:val="5"/>
          <w:kern w:val="28"/>
          <w:sz w:val="22"/>
          <w:szCs w:val="22"/>
          <w:lang w:val="en-US"/>
        </w:rPr>
        <w:t xml:space="preserve">, Ovens J, Feneberg R, Höcker B, Vondrak K, Grenda R, Friman S, Milford DV, Lucan M, Opelz G, Tönshoff B. Soluble CD30 and ELISA-detected human leukocyte antigen antibodies for the prediction of acute rejection in pediatric renal transplant recipients. Transpl Int 26:331-338, 2013 </w:t>
      </w:r>
    </w:p>
    <w:p w14:paraId="31FD788B" w14:textId="77777777" w:rsidR="00616F9A" w:rsidRPr="00E40F70" w:rsidRDefault="00616F9A" w:rsidP="00616F9A">
      <w:pPr>
        <w:numPr>
          <w:ilvl w:val="0"/>
          <w:numId w:val="1"/>
        </w:numPr>
        <w:shd w:val="clear" w:color="auto" w:fill="FFFFFF"/>
        <w:spacing w:before="120" w:line="320" w:lineRule="exact"/>
        <w:rPr>
          <w:rFonts w:ascii="Arial" w:hAnsi="Arial"/>
          <w:spacing w:val="5"/>
          <w:kern w:val="28"/>
          <w:sz w:val="22"/>
          <w:szCs w:val="22"/>
          <w:lang w:val="en-US"/>
        </w:rPr>
      </w:pPr>
      <w:r w:rsidRPr="00E40F70">
        <w:rPr>
          <w:rFonts w:ascii="Arial" w:hAnsi="Arial" w:cs="Arial"/>
          <w:sz w:val="22"/>
          <w:szCs w:val="22"/>
          <w:lang w:val="en-US"/>
        </w:rPr>
        <w:t xml:space="preserve">Höcker B, Fickenscher H, Delecluse HJ, Böhm S, Küsters U, Schnitzler P, Pohl M, John U, Kemper MJ, Fehrenbach H, Wigger M, Holder M, Schröder M, Billing H, Fichtner A, Feneberg R, Sander A, Köpf-Shakib S, </w:t>
      </w:r>
      <w:r w:rsidRPr="00E40F70">
        <w:rPr>
          <w:rFonts w:ascii="Arial" w:hAnsi="Arial" w:cs="Arial"/>
          <w:b/>
          <w:sz w:val="22"/>
          <w:szCs w:val="22"/>
          <w:lang w:val="en-US"/>
        </w:rPr>
        <w:t>Süsal C</w:t>
      </w:r>
      <w:r w:rsidRPr="00E40F70">
        <w:rPr>
          <w:rFonts w:ascii="Arial" w:hAnsi="Arial" w:cs="Arial"/>
          <w:sz w:val="22"/>
          <w:szCs w:val="22"/>
          <w:lang w:val="en-US"/>
        </w:rPr>
        <w:t xml:space="preserve">, Tönshoff B. Epidemiology and morbidity of Epstein-Barr virus infection in pediatric renal transplant recipients: a multicenter, prospective study. Clin Infect Dis 56:84-92, 2013 </w:t>
      </w:r>
    </w:p>
    <w:p w14:paraId="640643EF" w14:textId="77777777" w:rsidR="00616F9A" w:rsidRPr="00E40F70" w:rsidRDefault="00616F9A" w:rsidP="00616F9A">
      <w:pPr>
        <w:numPr>
          <w:ilvl w:val="0"/>
          <w:numId w:val="1"/>
        </w:numPr>
        <w:shd w:val="clear" w:color="auto" w:fill="FFFFFF"/>
        <w:spacing w:before="120" w:line="320" w:lineRule="exact"/>
        <w:rPr>
          <w:rFonts w:ascii="Arial" w:hAnsi="Arial"/>
          <w:spacing w:val="5"/>
          <w:kern w:val="28"/>
          <w:sz w:val="22"/>
          <w:szCs w:val="22"/>
          <w:lang w:val="en-US"/>
        </w:rPr>
      </w:pPr>
      <w:r w:rsidRPr="00E40F70">
        <w:rPr>
          <w:rFonts w:ascii="Arial" w:hAnsi="Arial" w:cs="Arial"/>
          <w:sz w:val="22"/>
          <w:szCs w:val="22"/>
          <w:lang w:val="en-US" w:eastAsia="en-US"/>
        </w:rPr>
        <w:t xml:space="preserve">Weimer R, Ettrich M, Renner F, Dietrich H,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Deisz S, Padberg W, Opelz G. </w:t>
      </w:r>
      <w:hyperlink r:id="rId42" w:history="1">
        <w:r w:rsidRPr="00E40F70">
          <w:rPr>
            <w:rFonts w:ascii="Arial" w:hAnsi="Arial" w:cs="Arial"/>
            <w:sz w:val="22"/>
            <w:szCs w:val="22"/>
            <w:lang w:val="en-US" w:eastAsia="en-US"/>
          </w:rPr>
          <w:t>ATG induction in renal transplant recipients: Long-term hazard of severe infection is associated with long-term functional T cell impairment but not the ATG-induced CD4 cell decline.</w:t>
        </w:r>
      </w:hyperlink>
      <w:r w:rsidRPr="00E40F70">
        <w:rPr>
          <w:rFonts w:ascii="Arial" w:hAnsi="Arial" w:cs="Arial"/>
          <w:sz w:val="22"/>
          <w:szCs w:val="22"/>
          <w:lang w:val="en-US" w:eastAsia="en-US"/>
        </w:rPr>
        <w:t xml:space="preserve"> Hum Immunol 75:561-569, 2014 </w:t>
      </w:r>
    </w:p>
    <w:p w14:paraId="5F69270D" w14:textId="77777777" w:rsidR="00616F9A" w:rsidRPr="00E40F70" w:rsidRDefault="00616F9A" w:rsidP="00616F9A">
      <w:pPr>
        <w:numPr>
          <w:ilvl w:val="0"/>
          <w:numId w:val="1"/>
        </w:numPr>
        <w:shd w:val="clear" w:color="auto" w:fill="FFFFFF"/>
        <w:spacing w:before="120" w:line="320" w:lineRule="exact"/>
        <w:rPr>
          <w:rFonts w:ascii="Arial" w:hAnsi="Arial" w:cs="Arial"/>
          <w:sz w:val="22"/>
          <w:szCs w:val="22"/>
          <w:lang w:val="en-US" w:eastAsia="en-US"/>
        </w:rPr>
      </w:pPr>
      <w:r w:rsidRPr="00E40F70">
        <w:rPr>
          <w:rFonts w:ascii="Arial" w:hAnsi="Arial" w:cs="Arial"/>
          <w:sz w:val="22"/>
          <w:szCs w:val="22"/>
          <w:lang w:val="en-US"/>
        </w:rPr>
        <w:t xml:space="preserve">Opelz G, Morath C, </w:t>
      </w:r>
      <w:r w:rsidRPr="00E40F70">
        <w:rPr>
          <w:rFonts w:ascii="Arial" w:hAnsi="Arial" w:cs="Arial"/>
          <w:b/>
          <w:sz w:val="22"/>
          <w:szCs w:val="22"/>
          <w:lang w:val="en-US"/>
        </w:rPr>
        <w:t>Süsal C</w:t>
      </w:r>
      <w:r w:rsidRPr="00E40F70">
        <w:rPr>
          <w:rFonts w:ascii="Arial" w:hAnsi="Arial" w:cs="Arial"/>
          <w:sz w:val="22"/>
          <w:szCs w:val="22"/>
          <w:lang w:val="en-US"/>
        </w:rPr>
        <w:t>, Tran H, Zeier M, Döhler B. Three-year graft and patient survival following 1,420 ABO incompatible living-donor kidney transplants performed after ABO antibody reduction: Results from 101 centers. Transplantation 99:400-404, 2015</w:t>
      </w:r>
      <w:r w:rsidRPr="00E40F70">
        <w:rPr>
          <w:rStyle w:val="pages"/>
          <w:rFonts w:ascii="Arial" w:hAnsi="Arial" w:cs="Arial"/>
          <w:b/>
          <w:color w:val="000000"/>
          <w:sz w:val="22"/>
          <w:szCs w:val="22"/>
          <w:lang w:val="en-US"/>
        </w:rPr>
        <w:t xml:space="preserve"> </w:t>
      </w:r>
    </w:p>
    <w:p w14:paraId="600C07E5" w14:textId="77777777" w:rsidR="00616F9A" w:rsidRPr="00E40F70" w:rsidRDefault="00616F9A" w:rsidP="00616F9A">
      <w:pPr>
        <w:numPr>
          <w:ilvl w:val="0"/>
          <w:numId w:val="1"/>
        </w:numPr>
        <w:shd w:val="clear" w:color="auto" w:fill="FFFFFF"/>
        <w:spacing w:before="120" w:line="320" w:lineRule="exact"/>
        <w:rPr>
          <w:rFonts w:ascii="Arial" w:hAnsi="Arial"/>
          <w:spacing w:val="5"/>
          <w:kern w:val="28"/>
          <w:sz w:val="22"/>
          <w:szCs w:val="22"/>
          <w:lang w:val="en-US"/>
        </w:rPr>
      </w:pPr>
      <w:r w:rsidRPr="00E40F70">
        <w:rPr>
          <w:rFonts w:ascii="Arial" w:hAnsi="Arial" w:cs="Arial"/>
          <w:sz w:val="22"/>
          <w:szCs w:val="22"/>
          <w:lang w:val="en-US"/>
        </w:rPr>
        <w:t xml:space="preserve">Günesacar R, Opelz G, Erken E, Döhler B, Ruhenstroth A, </w:t>
      </w:r>
      <w:r w:rsidRPr="00E40F70">
        <w:rPr>
          <w:rFonts w:ascii="Arial" w:hAnsi="Arial" w:cs="Arial"/>
          <w:b/>
          <w:sz w:val="22"/>
          <w:szCs w:val="22"/>
          <w:lang w:val="en-US"/>
        </w:rPr>
        <w:t>Süsal C</w:t>
      </w:r>
      <w:r w:rsidRPr="00E40F70">
        <w:rPr>
          <w:rFonts w:ascii="Arial" w:hAnsi="Arial" w:cs="Arial"/>
          <w:sz w:val="22"/>
          <w:szCs w:val="22"/>
          <w:lang w:val="en-US"/>
        </w:rPr>
        <w:t xml:space="preserve">. Complement C5a receptor gene 450 C/T polymorphism in renal transplant recipients: association of the CT genotype with graft outcome. Tissue Antigens 85:104-107, 2015 </w:t>
      </w:r>
    </w:p>
    <w:p w14:paraId="4897C4CB"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Cs/>
          <w:sz w:val="22"/>
          <w:szCs w:val="22"/>
          <w:lang w:val="en-US"/>
        </w:rPr>
        <w:t xml:space="preserve">Gaiser MR, Textor S, Senger T, Schädlich S, Waterboer T, Kaufmann A, </w:t>
      </w:r>
      <w:r w:rsidRPr="00E40F70">
        <w:rPr>
          <w:rFonts w:ascii="Arial" w:hAnsi="Arial" w:cs="Arial"/>
          <w:b/>
          <w:bCs/>
          <w:sz w:val="22"/>
          <w:szCs w:val="22"/>
          <w:lang w:val="en-US"/>
        </w:rPr>
        <w:t>Süsal C</w:t>
      </w:r>
      <w:r w:rsidRPr="00E40F70">
        <w:rPr>
          <w:rFonts w:ascii="Arial" w:hAnsi="Arial" w:cs="Arial"/>
          <w:bCs/>
          <w:sz w:val="22"/>
          <w:szCs w:val="22"/>
          <w:lang w:val="en-US"/>
        </w:rPr>
        <w:t>, Pawlita M, Enk AH, Gissmann L, Lonsdorf AS.</w:t>
      </w:r>
      <w:r w:rsidRPr="00E40F70">
        <w:rPr>
          <w:rFonts w:ascii="Arial" w:hAnsi="Arial" w:cs="Arial"/>
          <w:bCs/>
          <w:sz w:val="22"/>
          <w:szCs w:val="22"/>
          <w:vertAlign w:val="superscript"/>
          <w:lang w:val="en-US"/>
        </w:rPr>
        <w:t xml:space="preserve"> </w:t>
      </w:r>
      <w:r w:rsidRPr="00E40F70">
        <w:rPr>
          <w:rFonts w:ascii="Arial" w:hAnsi="Arial" w:cs="Arial"/>
          <w:bCs/>
          <w:sz w:val="22"/>
          <w:szCs w:val="22"/>
          <w:lang w:val="en-US"/>
        </w:rPr>
        <w:t xml:space="preserve">Evaluation of specific humoral and cellular </w:t>
      </w:r>
      <w:r w:rsidRPr="00E40F70">
        <w:rPr>
          <w:rFonts w:ascii="Arial" w:hAnsi="Arial" w:cs="Arial"/>
          <w:sz w:val="22"/>
          <w:szCs w:val="22"/>
          <w:lang w:val="en-US"/>
        </w:rPr>
        <w:t>immune</w:t>
      </w:r>
      <w:r w:rsidRPr="00E40F70">
        <w:rPr>
          <w:rFonts w:ascii="Arial" w:hAnsi="Arial" w:cs="Arial"/>
          <w:bCs/>
          <w:sz w:val="22"/>
          <w:szCs w:val="22"/>
          <w:lang w:val="en-US"/>
        </w:rPr>
        <w:t xml:space="preserve"> responses against</w:t>
      </w:r>
      <w:r w:rsidRPr="00E40F70">
        <w:rPr>
          <w:rFonts w:ascii="Arial" w:hAnsi="Arial" w:cs="Arial"/>
          <w:bCs/>
          <w:color w:val="FF0000"/>
          <w:sz w:val="22"/>
          <w:szCs w:val="22"/>
          <w:lang w:val="en-US"/>
        </w:rPr>
        <w:t xml:space="preserve"> </w:t>
      </w:r>
      <w:r w:rsidRPr="00E40F70">
        <w:rPr>
          <w:rFonts w:ascii="Arial" w:hAnsi="Arial" w:cs="Arial"/>
          <w:bCs/>
          <w:sz w:val="22"/>
          <w:szCs w:val="22"/>
          <w:lang w:val="en-US"/>
        </w:rPr>
        <w:t xml:space="preserve">the major capsid L1 Protein of cutaneous wart-associated alpha-Papillomaviruses in solid organ transplant recipients. J Dermatol Sci 77:37-45, 2015 </w:t>
      </w:r>
    </w:p>
    <w:p w14:paraId="0165691B"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Opelz G, Morath C, </w:t>
      </w:r>
      <w:r w:rsidRPr="00E40F70">
        <w:rPr>
          <w:rFonts w:ascii="Arial" w:hAnsi="Arial" w:cs="Arial"/>
          <w:b/>
          <w:sz w:val="22"/>
          <w:szCs w:val="22"/>
          <w:lang w:val="en-US"/>
        </w:rPr>
        <w:t>Süsal C</w:t>
      </w:r>
      <w:r w:rsidRPr="00E40F70">
        <w:rPr>
          <w:rFonts w:ascii="Arial" w:hAnsi="Arial" w:cs="Arial"/>
          <w:sz w:val="22"/>
          <w:szCs w:val="22"/>
          <w:lang w:val="en-US"/>
        </w:rPr>
        <w:t xml:space="preserve">, Tran H, Zeier M, Döhler B. Three-year outcomes following 1,420 ABO incompatible living-donor kidney transplants performed after </w:t>
      </w:r>
      <w:r w:rsidRPr="00E40F70">
        <w:rPr>
          <w:rFonts w:ascii="Arial" w:hAnsi="Arial" w:cs="Arial"/>
          <w:sz w:val="22"/>
          <w:szCs w:val="22"/>
          <w:lang w:val="en-US"/>
        </w:rPr>
        <w:lastRenderedPageBreak/>
        <w:t xml:space="preserve">ABO antibody reduction: Results from 101 centers. Transplantation </w:t>
      </w:r>
      <w:r w:rsidRPr="00E40F70">
        <w:rPr>
          <w:rFonts w:ascii="Arial" w:hAnsi="Arial" w:cs="Arial"/>
          <w:sz w:val="22"/>
          <w:szCs w:val="22"/>
          <w:lang w:val="en-US" w:eastAsia="en-US"/>
        </w:rPr>
        <w:t xml:space="preserve">99:400-404, 2015 </w:t>
      </w:r>
    </w:p>
    <w:p w14:paraId="2A7DDD9E"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Wettstein D, Döhler B, Morath C, Ruhenstroth A, Scherer S, Tran TH, Gombos P, </w:t>
      </w:r>
      <w:r w:rsidRPr="00E40F70">
        <w:rPr>
          <w:rFonts w:ascii="Arial" w:hAnsi="Arial" w:cs="Arial"/>
          <w:sz w:val="22"/>
          <w:szCs w:val="22"/>
          <w:lang w:val="en-US"/>
        </w:rPr>
        <w:t>Schemmer</w:t>
      </w:r>
      <w:r w:rsidRPr="00E40F70">
        <w:rPr>
          <w:rFonts w:ascii="Arial" w:hAnsi="Arial" w:cs="Arial"/>
          <w:sz w:val="22"/>
          <w:szCs w:val="22"/>
          <w:lang w:val="en-US" w:eastAsia="en-US"/>
        </w:rPr>
        <w:t xml:space="preserve"> P, Wagner E, Fehr T, Živčić-Ćosić S, Balen S, Weimer R, Slavcev A, Bösmüller C, Norman DJ, Zeier M, Opelz G. A Collaborative Transplant Study Report. Association of kidney graft loss with de novo produced donor-specific and non-donor-specific HLA antibodies detected by single antigen testing. Transplantation 99:1976-1980, 2015 </w:t>
      </w:r>
    </w:p>
    <w:p w14:paraId="39ABC1B4"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Becker</w:t>
      </w:r>
      <w:r w:rsidRPr="00E40F70">
        <w:rPr>
          <w:rFonts w:ascii="Arial" w:hAnsi="Arial" w:cs="Arial"/>
          <w:sz w:val="22"/>
          <w:szCs w:val="22"/>
          <w:lang w:val="en-US" w:eastAsia="en-US"/>
        </w:rPr>
        <w:t xml:space="preserve"> LE, Siebert D,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Opelz G, Leo A, Waldherr R, Macher-Goeppinger S, Schemmer P, Schaefer SM, Klein K, Beimler J, Zeier M, Schwenger V, Morath C. Outcomes Following ABO-Incompatible Kidney Transplantation Performed After Desensitization by Nonantigen-Specific Immunoadsorption. Transplantation 99:2364-2371, 2015 </w:t>
      </w:r>
    </w:p>
    <w:p w14:paraId="0D32EA6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Richter R, </w:t>
      </w:r>
      <w:r w:rsidRPr="00E40F70">
        <w:rPr>
          <w:rFonts w:ascii="Arial" w:hAnsi="Arial" w:cs="Arial"/>
          <w:b/>
          <w:bCs/>
          <w:sz w:val="22"/>
          <w:szCs w:val="22"/>
          <w:lang w:val="en-US"/>
        </w:rPr>
        <w:t>Süsal C</w:t>
      </w:r>
      <w:r w:rsidRPr="00E40F70">
        <w:rPr>
          <w:rFonts w:ascii="Arial" w:hAnsi="Arial" w:cs="Arial"/>
          <w:sz w:val="22"/>
          <w:szCs w:val="22"/>
          <w:lang w:val="en-US"/>
        </w:rPr>
        <w:t xml:space="preserve">, Köhler S, Qidan S, Schödel A, Holschuh L, Brzoska M, Asbe-Vollkopf A, Büttner S, Betz C, Herrmann E, Gauer S, Seifried E, Geiger H, Seidl C, Hauser IA. </w:t>
      </w:r>
      <w:r w:rsidRPr="00E40F70">
        <w:rPr>
          <w:rStyle w:val="Strong"/>
          <w:rFonts w:ascii="Arial" w:hAnsi="Arial" w:cs="Arial"/>
          <w:b w:val="0"/>
          <w:bCs w:val="0"/>
          <w:sz w:val="22"/>
          <w:szCs w:val="22"/>
          <w:lang w:val="en-US"/>
        </w:rPr>
        <w:t>Pretransplant human leukocyte antigen antibodies detected by single antigen bead assay are a risk factor for long-term kidney graft loss even in the absence of donor specific antibodies.</w:t>
      </w:r>
      <w:r w:rsidRPr="00E40F70">
        <w:rPr>
          <w:rFonts w:ascii="Arial" w:hAnsi="Arial" w:cs="Arial"/>
          <w:sz w:val="22"/>
          <w:szCs w:val="22"/>
          <w:lang w:val="en-US"/>
        </w:rPr>
        <w:t xml:space="preserve"> Transpl Int 29:988-998, 2016 </w:t>
      </w:r>
    </w:p>
    <w:p w14:paraId="7558131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bCs/>
          <w:sz w:val="22"/>
          <w:szCs w:val="22"/>
          <w:lang w:val="en-US"/>
        </w:rPr>
        <w:t>Süsal C</w:t>
      </w:r>
      <w:r w:rsidRPr="00E40F70">
        <w:rPr>
          <w:rFonts w:ascii="Arial" w:hAnsi="Arial" w:cs="Arial"/>
          <w:sz w:val="22"/>
          <w:szCs w:val="22"/>
          <w:lang w:val="en-US"/>
        </w:rPr>
        <w:t xml:space="preserve">, Döhler B, Ruhenstroth A, Morath C, Slavcev A, Fehr T, Wagner E, Krüger B, Rees M, Balen S, Živcic-Cosic S, Norman DJ, Kuypers D, Emonds MP, Pisarski P, Bösmüller C, Weimer R, Mytilineos J, Scherer S, Tran TH, Gombos P, Schemmer P, Zeier M, Opelz G. </w:t>
      </w:r>
      <w:r w:rsidRPr="00E40F70">
        <w:rPr>
          <w:rStyle w:val="Strong"/>
          <w:rFonts w:ascii="Arial" w:hAnsi="Arial" w:cs="Arial"/>
          <w:b w:val="0"/>
          <w:bCs w:val="0"/>
          <w:sz w:val="22"/>
          <w:szCs w:val="22"/>
          <w:lang w:val="en-US"/>
        </w:rPr>
        <w:t>Donor-specific antibodies require preactivated immune system to harm renal transplant.</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EBioMedicine 9:366-371, 2016 </w:t>
      </w:r>
    </w:p>
    <w:p w14:paraId="4EE13BBC"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Opelz G, Unterrainer C, </w:t>
      </w:r>
      <w:r w:rsidRPr="00E40F70">
        <w:rPr>
          <w:rFonts w:ascii="Arial" w:hAnsi="Arial" w:cs="Arial"/>
          <w:b/>
          <w:sz w:val="22"/>
          <w:szCs w:val="22"/>
          <w:lang w:val="en-US"/>
        </w:rPr>
        <w:t>Süsal C</w:t>
      </w:r>
      <w:r w:rsidRPr="00E40F70">
        <w:rPr>
          <w:rFonts w:ascii="Arial" w:hAnsi="Arial" w:cs="Arial"/>
          <w:sz w:val="22"/>
          <w:szCs w:val="22"/>
          <w:lang w:val="en-US"/>
        </w:rPr>
        <w:t xml:space="preserve">, Döhler B. </w:t>
      </w:r>
      <w:r w:rsidRPr="00E40F70">
        <w:rPr>
          <w:rFonts w:ascii="Arial" w:hAnsi="Arial" w:cs="Arial"/>
          <w:bCs/>
          <w:sz w:val="22"/>
          <w:szCs w:val="22"/>
          <w:lang w:val="en-US"/>
        </w:rPr>
        <w:t xml:space="preserve">Immunosuppression with mammalian target of rapamycin inhibitor and incidence of post-transplant cancer in kidney transplant recipients. </w:t>
      </w:r>
      <w:r w:rsidRPr="00E40F70">
        <w:rPr>
          <w:rFonts w:ascii="Arial" w:hAnsi="Arial" w:cs="Arial"/>
          <w:sz w:val="22"/>
          <w:szCs w:val="22"/>
          <w:lang w:val="en-US"/>
        </w:rPr>
        <w:t xml:space="preserve">Nephrol Dial Transplant 31:1360-1367, 2016 </w:t>
      </w:r>
    </w:p>
    <w:p w14:paraId="31BD882B"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Opelz G, Unterrainer C, </w:t>
      </w:r>
      <w:r w:rsidRPr="00E40F70">
        <w:rPr>
          <w:rFonts w:ascii="Arial" w:hAnsi="Arial" w:cs="Arial"/>
          <w:b/>
          <w:sz w:val="22"/>
          <w:szCs w:val="22"/>
          <w:lang w:val="en-US"/>
        </w:rPr>
        <w:t>Süsal C</w:t>
      </w:r>
      <w:r w:rsidRPr="00E40F70">
        <w:rPr>
          <w:rFonts w:ascii="Arial" w:hAnsi="Arial" w:cs="Arial"/>
          <w:sz w:val="22"/>
          <w:szCs w:val="22"/>
          <w:lang w:val="en-US"/>
        </w:rPr>
        <w:t xml:space="preserve">, Döhler B. </w:t>
      </w:r>
      <w:r w:rsidRPr="00E40F70">
        <w:rPr>
          <w:rFonts w:ascii="Arial" w:hAnsi="Arial" w:cs="Arial"/>
          <w:bCs/>
          <w:sz w:val="22"/>
          <w:szCs w:val="22"/>
          <w:lang w:val="en-US"/>
        </w:rPr>
        <w:t xml:space="preserve">Efficacy and safety of antibody induction therapy in the current era of kidney transplantation. </w:t>
      </w:r>
      <w:r w:rsidRPr="00E40F70">
        <w:rPr>
          <w:rFonts w:ascii="Arial" w:hAnsi="Arial" w:cs="Arial"/>
          <w:sz w:val="22"/>
          <w:szCs w:val="22"/>
          <w:lang w:val="en-US"/>
        </w:rPr>
        <w:t xml:space="preserve">Nephrol Dial Transplant 31:1730-1738, 2016 </w:t>
      </w:r>
    </w:p>
    <w:p w14:paraId="4F1DB08A"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Schaefer SM, </w:t>
      </w:r>
      <w:r w:rsidRPr="00E40F70">
        <w:rPr>
          <w:rFonts w:ascii="Arial" w:hAnsi="Arial" w:cs="Arial"/>
          <w:b/>
          <w:sz w:val="22"/>
          <w:szCs w:val="22"/>
          <w:lang w:val="en-US"/>
        </w:rPr>
        <w:t>Süsal C</w:t>
      </w:r>
      <w:r w:rsidRPr="00E40F70">
        <w:rPr>
          <w:rFonts w:ascii="Arial" w:hAnsi="Arial" w:cs="Arial"/>
          <w:sz w:val="22"/>
          <w:szCs w:val="22"/>
          <w:lang w:val="en-US"/>
        </w:rPr>
        <w:t xml:space="preserve">, Opelz G, Döhler B, Becker LE, Klein K, Sickmüller S, Waldherr R, Macher-Goeppinger S, Schemmer P, Beimler J, Zeier M, Morath C. </w:t>
      </w:r>
      <w:r w:rsidRPr="00E40F70">
        <w:rPr>
          <w:rFonts w:ascii="Arial" w:hAnsi="Arial" w:cs="Arial"/>
          <w:bCs/>
          <w:sz w:val="22"/>
          <w:szCs w:val="22"/>
          <w:lang w:val="en-US"/>
        </w:rPr>
        <w:t xml:space="preserve">Pre-transplant soluble CD30 in combination with total DSA but not pre-transplant C1q-DSA predicts antibody-mediated graft loss in presensitized high-risk kidney transplant recipients. </w:t>
      </w:r>
      <w:r w:rsidRPr="00E40F70">
        <w:rPr>
          <w:rFonts w:ascii="Arial" w:hAnsi="Arial" w:cs="Arial"/>
          <w:sz w:val="22"/>
          <w:szCs w:val="22"/>
          <w:lang w:val="en-US"/>
        </w:rPr>
        <w:t xml:space="preserve">HLA 87:89-99, 2016 </w:t>
      </w:r>
    </w:p>
    <w:p w14:paraId="410A6C9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Velasquez SY, Opelz G, Rojas M, </w:t>
      </w:r>
      <w:r w:rsidRPr="00E40F70">
        <w:rPr>
          <w:rFonts w:ascii="Arial" w:hAnsi="Arial" w:cs="Arial"/>
          <w:b/>
          <w:sz w:val="22"/>
          <w:szCs w:val="22"/>
          <w:lang w:val="en-US"/>
        </w:rPr>
        <w:t>Süsal C,</w:t>
      </w:r>
      <w:r w:rsidRPr="00E40F70">
        <w:rPr>
          <w:rFonts w:ascii="Arial" w:hAnsi="Arial" w:cs="Arial"/>
          <w:sz w:val="22"/>
          <w:szCs w:val="22"/>
          <w:lang w:val="en-US"/>
        </w:rPr>
        <w:t xml:space="preserve"> Alvarez CM. </w:t>
      </w:r>
      <w:r w:rsidRPr="00E40F70">
        <w:rPr>
          <w:rFonts w:ascii="Arial" w:hAnsi="Arial" w:cs="Arial"/>
          <w:bCs/>
          <w:sz w:val="22"/>
          <w:szCs w:val="22"/>
          <w:lang w:val="en-US"/>
        </w:rPr>
        <w:t xml:space="preserve">Association of CD30 transcripts with Th1 responses and proinflammatory cytokines in patients with end-stage renal disease. </w:t>
      </w:r>
      <w:r w:rsidRPr="00E40F70">
        <w:rPr>
          <w:rFonts w:ascii="Arial" w:hAnsi="Arial" w:cs="Arial"/>
          <w:sz w:val="22"/>
          <w:szCs w:val="22"/>
          <w:lang w:val="en-US"/>
        </w:rPr>
        <w:t xml:space="preserve">Hum Immunol 77:403-410, 2016 </w:t>
      </w:r>
    </w:p>
    <w:p w14:paraId="47F470C9"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Fichtner A, </w:t>
      </w:r>
      <w:r w:rsidRPr="00E40F70">
        <w:rPr>
          <w:rFonts w:ascii="Arial" w:hAnsi="Arial" w:cs="Arial"/>
          <w:b/>
          <w:sz w:val="22"/>
          <w:szCs w:val="22"/>
          <w:lang w:val="en-US"/>
        </w:rPr>
        <w:t>Süsal C</w:t>
      </w:r>
      <w:r w:rsidRPr="00E40F70">
        <w:rPr>
          <w:rFonts w:ascii="Arial" w:hAnsi="Arial" w:cs="Arial"/>
          <w:sz w:val="22"/>
          <w:szCs w:val="22"/>
          <w:lang w:val="en-US"/>
        </w:rPr>
        <w:t xml:space="preserve">, Höcker B, Rieger S, Waldherr R, Westhoff JH, Sander A, Opelz G, Tönshoff B. </w:t>
      </w:r>
      <w:r w:rsidRPr="00E40F70">
        <w:rPr>
          <w:rFonts w:ascii="Arial" w:hAnsi="Arial" w:cs="Arial"/>
          <w:bCs/>
          <w:sz w:val="22"/>
          <w:szCs w:val="22"/>
          <w:lang w:val="en-US"/>
        </w:rPr>
        <w:t xml:space="preserve">Association of C1q-fixing DSA with late graft failure in pediatric renal transplant recipients. </w:t>
      </w:r>
      <w:r w:rsidRPr="00E40F70">
        <w:rPr>
          <w:rFonts w:ascii="Arial" w:hAnsi="Arial" w:cs="Arial"/>
          <w:sz w:val="22"/>
          <w:szCs w:val="22"/>
          <w:lang w:val="en-US"/>
        </w:rPr>
        <w:t xml:space="preserve">Pediatr Nephrol 31:1157-1166, 2016 </w:t>
      </w:r>
    </w:p>
    <w:p w14:paraId="0797B500"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lastRenderedPageBreak/>
        <w:t>Daniel V,</w:t>
      </w:r>
      <w:r w:rsidRPr="00E40F70">
        <w:rPr>
          <w:rFonts w:ascii="Arial" w:hAnsi="Arial" w:cs="Arial"/>
          <w:b/>
          <w:bCs/>
          <w:sz w:val="22"/>
          <w:szCs w:val="22"/>
          <w:lang w:val="en-US"/>
        </w:rPr>
        <w:t xml:space="preserve"> Süsal C</w:t>
      </w:r>
      <w:r w:rsidRPr="00E40F70">
        <w:rPr>
          <w:rFonts w:ascii="Arial" w:hAnsi="Arial" w:cs="Arial"/>
          <w:sz w:val="22"/>
          <w:szCs w:val="22"/>
          <w:lang w:val="en-US"/>
        </w:rPr>
        <w:t xml:space="preserve">, Scherer S, Tran H, Gombos P, Trojan K, Sadeghi M, Morath C, Opelz. </w:t>
      </w:r>
      <w:r w:rsidRPr="00E40F70">
        <w:rPr>
          <w:rStyle w:val="Strong"/>
          <w:rFonts w:ascii="Arial" w:hAnsi="Arial" w:cs="Arial"/>
          <w:b w:val="0"/>
          <w:bCs w:val="0"/>
          <w:sz w:val="22"/>
          <w:szCs w:val="22"/>
          <w:lang w:val="en-US"/>
        </w:rPr>
        <w:t>Endothelial precursor cell cross-match using Tie-2-enriched spleen cells.</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Clin Transplant 31:e13118, 17 pages, 2017 </w:t>
      </w:r>
    </w:p>
    <w:p w14:paraId="62077CA4"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Zeier M, </w:t>
      </w:r>
      <w:r w:rsidRPr="00E40F70">
        <w:rPr>
          <w:rFonts w:ascii="Arial" w:hAnsi="Arial" w:cs="Arial"/>
          <w:b/>
          <w:bCs/>
          <w:sz w:val="22"/>
          <w:szCs w:val="22"/>
          <w:lang w:val="en-US"/>
        </w:rPr>
        <w:t>Süsal C</w:t>
      </w:r>
      <w:r w:rsidRPr="00E40F70">
        <w:rPr>
          <w:rFonts w:ascii="Arial" w:hAnsi="Arial" w:cs="Arial"/>
          <w:sz w:val="22"/>
          <w:szCs w:val="22"/>
          <w:lang w:val="en-US"/>
        </w:rPr>
        <w:t xml:space="preserve">. INVITED COMMENTARY </w:t>
      </w:r>
      <w:r w:rsidRPr="00E40F70">
        <w:rPr>
          <w:rStyle w:val="Strong"/>
          <w:rFonts w:ascii="Arial" w:hAnsi="Arial" w:cs="Arial"/>
          <w:b w:val="0"/>
          <w:bCs w:val="0"/>
          <w:sz w:val="22"/>
          <w:szCs w:val="22"/>
          <w:lang w:val="en-US"/>
        </w:rPr>
        <w:t>Increased risk of infection-associated death with incompatible kidney transplantations</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Transpl Int 30:1209-1211, 2017 </w:t>
      </w:r>
    </w:p>
    <w:p w14:paraId="54458FE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Ihrig A, Maatouk I, Fink S, Pahernik S, </w:t>
      </w:r>
      <w:r w:rsidRPr="00E40F70">
        <w:rPr>
          <w:rFonts w:ascii="Arial" w:hAnsi="Arial" w:cs="Arial"/>
          <w:b/>
          <w:bCs/>
          <w:sz w:val="22"/>
          <w:szCs w:val="22"/>
          <w:lang w:val="en-US"/>
        </w:rPr>
        <w:t>Süsal C</w:t>
      </w:r>
      <w:r w:rsidRPr="00E40F70">
        <w:rPr>
          <w:rFonts w:ascii="Arial" w:hAnsi="Arial" w:cs="Arial"/>
          <w:sz w:val="22"/>
          <w:szCs w:val="22"/>
          <w:lang w:val="en-US"/>
        </w:rPr>
        <w:t xml:space="preserve">, Huber J, Hohenfellner M, Zeier M, Grüllich C. </w:t>
      </w:r>
      <w:r w:rsidRPr="00E40F70">
        <w:rPr>
          <w:rStyle w:val="Strong"/>
          <w:rFonts w:ascii="Arial" w:hAnsi="Arial" w:cs="Arial"/>
          <w:b w:val="0"/>
          <w:bCs w:val="0"/>
          <w:sz w:val="22"/>
          <w:szCs w:val="22"/>
          <w:lang w:val="en-US"/>
        </w:rPr>
        <w:t>Results of a patient survey for assessment services in renal transplant patients with a history of cancer.</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Prog Transplant 4:365-368, 2017 </w:t>
      </w:r>
    </w:p>
    <w:p w14:paraId="0BAE28C0"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Opelz G, Döhler B, Middleton D, </w:t>
      </w:r>
      <w:r w:rsidRPr="00E40F70">
        <w:rPr>
          <w:rFonts w:ascii="Arial" w:hAnsi="Arial" w:cs="Arial"/>
          <w:b/>
          <w:bCs/>
          <w:sz w:val="22"/>
          <w:szCs w:val="22"/>
          <w:lang w:val="en-US"/>
        </w:rPr>
        <w:t>Süsal C.</w:t>
      </w:r>
      <w:r w:rsidRPr="00E40F70">
        <w:rPr>
          <w:rFonts w:ascii="Arial" w:hAnsi="Arial" w:cs="Arial"/>
          <w:sz w:val="22"/>
          <w:szCs w:val="22"/>
          <w:lang w:val="en-US"/>
        </w:rPr>
        <w:t xml:space="preserve"> HLA matching in pediatric kidney transplantation: HLA poorly matched living donor transplants versus HLA well matched deceased donor transplants. Transplantation 101:2789-2792, 2017</w:t>
      </w:r>
      <w:r w:rsidRPr="00E40F70">
        <w:rPr>
          <w:rFonts w:ascii="Arial" w:hAnsi="Arial" w:cs="Arial"/>
          <w:b/>
          <w:bCs/>
          <w:sz w:val="22"/>
          <w:szCs w:val="22"/>
          <w:lang w:val="en-US"/>
        </w:rPr>
        <w:t xml:space="preserve"> </w:t>
      </w:r>
    </w:p>
    <w:p w14:paraId="335DF81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Opelz G, Döhler B, Zeier M, </w:t>
      </w:r>
      <w:r w:rsidRPr="00E40F70">
        <w:rPr>
          <w:rFonts w:ascii="Arial" w:hAnsi="Arial" w:cs="Arial"/>
          <w:b/>
          <w:bCs/>
          <w:sz w:val="22"/>
          <w:szCs w:val="22"/>
          <w:lang w:val="en-US"/>
        </w:rPr>
        <w:t>Süsal C</w:t>
      </w:r>
      <w:r w:rsidRPr="00E40F70">
        <w:rPr>
          <w:rFonts w:ascii="Arial" w:hAnsi="Arial" w:cs="Arial"/>
          <w:sz w:val="22"/>
          <w:szCs w:val="22"/>
          <w:lang w:val="en-US"/>
        </w:rPr>
        <w:t xml:space="preserve">. </w:t>
      </w:r>
      <w:r w:rsidRPr="00E40F70">
        <w:rPr>
          <w:rStyle w:val="Strong"/>
          <w:rFonts w:ascii="Arial" w:hAnsi="Arial" w:cs="Arial"/>
          <w:b w:val="0"/>
          <w:bCs w:val="0"/>
          <w:sz w:val="22"/>
          <w:szCs w:val="22"/>
          <w:lang w:val="en-US"/>
        </w:rPr>
        <w:t xml:space="preserve">Influence of blood pressure and calcineurin inhibitors on kidney function after heart or liver transplantation. </w:t>
      </w:r>
      <w:r w:rsidRPr="00E40F70">
        <w:rPr>
          <w:rFonts w:ascii="Arial" w:hAnsi="Arial" w:cs="Arial"/>
          <w:sz w:val="22"/>
          <w:szCs w:val="22"/>
          <w:lang w:val="en-US"/>
        </w:rPr>
        <w:t xml:space="preserve">Transplantation. 102:845-852, 2018 </w:t>
      </w:r>
    </w:p>
    <w:p w14:paraId="37032F8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Unterrainer C, Döhler B, </w:t>
      </w:r>
      <w:r w:rsidRPr="00E40F70">
        <w:rPr>
          <w:rFonts w:ascii="Arial" w:hAnsi="Arial" w:cs="Arial"/>
          <w:b/>
          <w:bCs/>
          <w:sz w:val="22"/>
          <w:szCs w:val="22"/>
          <w:lang w:val="en-US"/>
        </w:rPr>
        <w:t>Süsal C</w:t>
      </w:r>
      <w:r w:rsidRPr="00E40F70">
        <w:rPr>
          <w:rFonts w:ascii="Arial" w:hAnsi="Arial" w:cs="Arial"/>
          <w:sz w:val="22"/>
          <w:szCs w:val="22"/>
          <w:lang w:val="en-US"/>
        </w:rPr>
        <w:t xml:space="preserve">. </w:t>
      </w:r>
      <w:r w:rsidRPr="00E40F70">
        <w:rPr>
          <w:rStyle w:val="Strong"/>
          <w:rFonts w:ascii="Arial" w:hAnsi="Arial" w:cs="Arial"/>
          <w:b w:val="0"/>
          <w:bCs w:val="0"/>
          <w:sz w:val="22"/>
          <w:szCs w:val="22"/>
          <w:lang w:val="en-US"/>
        </w:rPr>
        <w:t xml:space="preserve">Pitfalls in graft survival analysis. </w:t>
      </w:r>
      <w:r w:rsidRPr="00E40F70">
        <w:rPr>
          <w:rFonts w:ascii="Arial" w:hAnsi="Arial" w:cs="Arial"/>
          <w:sz w:val="22"/>
          <w:szCs w:val="22"/>
          <w:lang w:val="en-US"/>
        </w:rPr>
        <w:t xml:space="preserve">HLA 91:80-87, 2018 </w:t>
      </w:r>
    </w:p>
    <w:p w14:paraId="1042DEC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bCs/>
          <w:sz w:val="22"/>
          <w:szCs w:val="22"/>
          <w:lang w:val="en-US"/>
        </w:rPr>
        <w:t>Süsal C</w:t>
      </w:r>
      <w:r w:rsidRPr="00E40F70">
        <w:rPr>
          <w:rFonts w:ascii="Arial" w:hAnsi="Arial" w:cs="Arial"/>
          <w:sz w:val="22"/>
          <w:szCs w:val="22"/>
          <w:lang w:val="en-US"/>
        </w:rPr>
        <w:t xml:space="preserve">, Slavcev A, Pham L, Zeier M, Morath C. </w:t>
      </w:r>
      <w:r w:rsidRPr="00E40F70">
        <w:rPr>
          <w:rStyle w:val="Strong"/>
          <w:rFonts w:ascii="Arial" w:hAnsi="Arial" w:cs="Arial"/>
          <w:b w:val="0"/>
          <w:bCs w:val="0"/>
          <w:sz w:val="22"/>
          <w:szCs w:val="22"/>
          <w:lang w:val="en-US"/>
        </w:rPr>
        <w:t>The possible critical role of T-cell help in DSA-mediated graft loss.</w:t>
      </w:r>
      <w:r w:rsidRPr="00E40F70">
        <w:rPr>
          <w:rFonts w:ascii="Arial" w:hAnsi="Arial" w:cs="Arial"/>
          <w:sz w:val="22"/>
          <w:szCs w:val="22"/>
          <w:lang w:val="en-US"/>
        </w:rPr>
        <w:t xml:space="preserve"> Transpl Int 31:577-584, 2018 </w:t>
      </w:r>
    </w:p>
    <w:p w14:paraId="706858FE"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Fichtner A, </w:t>
      </w:r>
      <w:r w:rsidRPr="00E40F70">
        <w:rPr>
          <w:rFonts w:ascii="Arial" w:hAnsi="Arial" w:cs="Arial"/>
          <w:b/>
          <w:bCs/>
          <w:sz w:val="22"/>
          <w:szCs w:val="22"/>
          <w:lang w:val="en-US"/>
        </w:rPr>
        <w:t>Süsal C</w:t>
      </w:r>
      <w:r w:rsidRPr="00E40F70">
        <w:rPr>
          <w:rFonts w:ascii="Arial" w:hAnsi="Arial" w:cs="Arial"/>
          <w:sz w:val="22"/>
          <w:szCs w:val="22"/>
          <w:lang w:val="en-US"/>
        </w:rPr>
        <w:t xml:space="preserve">, Schröder C, Höcker B, Rieger S, Waldherr R, Westhoff JH, Sander A, Dragun D, Tönshoff B. </w:t>
      </w:r>
      <w:r w:rsidRPr="00E40F70">
        <w:rPr>
          <w:rStyle w:val="Strong"/>
          <w:rFonts w:ascii="Arial" w:hAnsi="Arial" w:cs="Arial"/>
          <w:b w:val="0"/>
          <w:bCs w:val="0"/>
          <w:sz w:val="22"/>
          <w:szCs w:val="22"/>
          <w:lang w:val="en-US"/>
        </w:rPr>
        <w:t xml:space="preserve">Association of angiotensin II type 1 receptor antibodies with graft histology, function and survival in paediatric renal transplant recipients. </w:t>
      </w:r>
      <w:r w:rsidRPr="00E40F70">
        <w:rPr>
          <w:rFonts w:ascii="Arial" w:hAnsi="Arial" w:cs="Arial"/>
          <w:sz w:val="22"/>
          <w:szCs w:val="22"/>
          <w:lang w:val="en-US"/>
        </w:rPr>
        <w:t xml:space="preserve">Nephrol Dial Transplant 33:1065-1072, 2018 </w:t>
      </w:r>
    </w:p>
    <w:p w14:paraId="6E2B0208" w14:textId="77777777" w:rsidR="00616F9A" w:rsidRPr="00E40F70" w:rsidRDefault="00616F9A" w:rsidP="00616F9A">
      <w:pPr>
        <w:numPr>
          <w:ilvl w:val="0"/>
          <w:numId w:val="1"/>
        </w:numPr>
        <w:shd w:val="clear" w:color="auto" w:fill="FFFFFF"/>
        <w:tabs>
          <w:tab w:val="left" w:pos="0"/>
        </w:tabs>
        <w:spacing w:before="120" w:line="320" w:lineRule="exact"/>
        <w:rPr>
          <w:rStyle w:val="Strong"/>
          <w:rFonts w:ascii="Arial" w:hAnsi="Arial" w:cs="Arial"/>
          <w:b w:val="0"/>
          <w:bCs w:val="0"/>
          <w:sz w:val="22"/>
          <w:szCs w:val="22"/>
          <w:lang w:val="en-US"/>
        </w:rPr>
      </w:pPr>
      <w:r w:rsidRPr="00E40F70">
        <w:rPr>
          <w:rFonts w:ascii="Arial" w:hAnsi="Arial" w:cs="Arial"/>
          <w:b/>
          <w:bCs/>
          <w:sz w:val="22"/>
          <w:szCs w:val="22"/>
          <w:lang w:val="en-US"/>
        </w:rPr>
        <w:t>Süsal C</w:t>
      </w:r>
      <w:r w:rsidRPr="00E40F70">
        <w:rPr>
          <w:rFonts w:ascii="Arial" w:hAnsi="Arial" w:cs="Arial"/>
          <w:sz w:val="22"/>
          <w:szCs w:val="22"/>
          <w:lang w:val="en-US"/>
        </w:rPr>
        <w:t xml:space="preserve">, Zeier M. EDITORIAL - </w:t>
      </w:r>
      <w:r w:rsidRPr="00E40F70">
        <w:rPr>
          <w:rStyle w:val="Strong"/>
          <w:rFonts w:ascii="Arial" w:hAnsi="Arial" w:cs="Arial"/>
          <w:b w:val="0"/>
          <w:bCs w:val="0"/>
          <w:sz w:val="22"/>
          <w:szCs w:val="22"/>
          <w:lang w:val="en-US"/>
        </w:rPr>
        <w:t xml:space="preserve">Is there a need for additional DQ matching? </w:t>
      </w:r>
      <w:r w:rsidRPr="00E40F70">
        <w:rPr>
          <w:rFonts w:ascii="Arial" w:hAnsi="Arial" w:cs="Arial"/>
          <w:sz w:val="22"/>
          <w:szCs w:val="22"/>
          <w:lang w:val="en-US"/>
        </w:rPr>
        <w:t>Clin J Am Soc Nephrol 13:683-684, 2018</w:t>
      </w:r>
    </w:p>
    <w:p w14:paraId="02F9CD3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Bouquegneau A, Loheac C, Aubert O, Bouatou Y, Viglietti D, Empana JP, Ulloa C, Hassan Murad M, Legendre C, Glotz D, Jackson AM, Zeevi A, Schaub S, Taupin JL, Reed EF, Friedewald JJ, Tyan DB, </w:t>
      </w:r>
      <w:r w:rsidRPr="00E40F70">
        <w:rPr>
          <w:rFonts w:ascii="Arial" w:hAnsi="Arial" w:cs="Arial"/>
          <w:b/>
          <w:bCs/>
          <w:sz w:val="22"/>
          <w:szCs w:val="22"/>
          <w:lang w:val="en-US"/>
        </w:rPr>
        <w:t>Süsal C</w:t>
      </w:r>
      <w:r w:rsidRPr="00E40F70">
        <w:rPr>
          <w:rFonts w:ascii="Arial" w:hAnsi="Arial" w:cs="Arial"/>
          <w:sz w:val="22"/>
          <w:szCs w:val="22"/>
          <w:lang w:val="en-US"/>
        </w:rPr>
        <w:t xml:space="preserve">, Shapiro R, Woodle ES, Hidalgo LG, O'Leary J, Montgomery RA, Kobashigawa J, Jouven X, Jabre P, Lefaucheur C, Loupy A. </w:t>
      </w:r>
      <w:r w:rsidRPr="00E40F70">
        <w:rPr>
          <w:rStyle w:val="Strong"/>
          <w:rFonts w:ascii="Arial" w:hAnsi="Arial" w:cs="Arial"/>
          <w:b w:val="0"/>
          <w:bCs w:val="0"/>
          <w:sz w:val="22"/>
          <w:szCs w:val="22"/>
          <w:lang w:val="en-US"/>
        </w:rPr>
        <w:t>Complement-activating donor-specific anti-HLA antibodies and solid organ transplant survival: A systematic review and meta-analysis</w:t>
      </w:r>
      <w:r w:rsidRPr="00E40F70">
        <w:rPr>
          <w:rStyle w:val="Strong"/>
          <w:rFonts w:ascii="Arial" w:hAnsi="Arial" w:cs="Arial"/>
          <w:sz w:val="22"/>
          <w:szCs w:val="22"/>
          <w:lang w:val="en-US"/>
        </w:rPr>
        <w:t xml:space="preserve">. </w:t>
      </w:r>
      <w:r w:rsidRPr="00E40F70">
        <w:rPr>
          <w:rFonts w:ascii="Arial" w:hAnsi="Arial" w:cs="Arial"/>
          <w:sz w:val="22"/>
          <w:szCs w:val="22"/>
          <w:lang w:val="en-US"/>
        </w:rPr>
        <w:t>PLoS Med 15:e1002572, 25 pages, 2018</w:t>
      </w:r>
    </w:p>
    <w:p w14:paraId="44419403"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Coemans M, </w:t>
      </w:r>
      <w:r w:rsidRPr="00E40F70">
        <w:rPr>
          <w:rFonts w:ascii="Arial" w:hAnsi="Arial" w:cs="Arial"/>
          <w:b/>
          <w:bCs/>
          <w:sz w:val="22"/>
          <w:szCs w:val="22"/>
          <w:lang w:val="en-US"/>
        </w:rPr>
        <w:t>Süsal C</w:t>
      </w:r>
      <w:r w:rsidRPr="00E40F70">
        <w:rPr>
          <w:rFonts w:ascii="Arial" w:hAnsi="Arial" w:cs="Arial"/>
          <w:sz w:val="22"/>
          <w:szCs w:val="22"/>
          <w:lang w:val="en-US"/>
        </w:rPr>
        <w:t xml:space="preserve">, Döhler B, Anglicheau D, Giral M, Bestard O, Legendre C, Emonds MP, Kuypers D, Molenberghs G, Verbeke G, Naesens M. </w:t>
      </w:r>
      <w:r w:rsidRPr="00E40F70">
        <w:rPr>
          <w:rStyle w:val="Strong"/>
          <w:rFonts w:ascii="Arial" w:hAnsi="Arial" w:cs="Arial"/>
          <w:b w:val="0"/>
          <w:bCs w:val="0"/>
          <w:sz w:val="22"/>
          <w:szCs w:val="22"/>
          <w:lang w:val="en-US"/>
        </w:rPr>
        <w:t>Analyses of the short- and long-term graft survival after kidney transplantation in Europe between 1986 and 2015.</w:t>
      </w:r>
      <w:r w:rsidRPr="00E40F70">
        <w:rPr>
          <w:rFonts w:ascii="Arial" w:hAnsi="Arial" w:cs="Arial"/>
          <w:sz w:val="22"/>
          <w:szCs w:val="22"/>
          <w:lang w:val="en-US"/>
        </w:rPr>
        <w:t xml:space="preserve"> Kidney Int 94:964-973, 2018 </w:t>
      </w:r>
    </w:p>
    <w:p w14:paraId="22D80E50"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Soulillou J-P, </w:t>
      </w:r>
      <w:r w:rsidRPr="00E40F70">
        <w:rPr>
          <w:rFonts w:ascii="Arial" w:hAnsi="Arial" w:cs="Arial"/>
          <w:b/>
          <w:bCs/>
          <w:sz w:val="22"/>
          <w:szCs w:val="22"/>
          <w:lang w:val="en-US"/>
        </w:rPr>
        <w:t>Süsal C</w:t>
      </w:r>
      <w:r w:rsidRPr="00E40F70">
        <w:rPr>
          <w:rFonts w:ascii="Arial" w:hAnsi="Arial" w:cs="Arial"/>
          <w:sz w:val="22"/>
          <w:szCs w:val="22"/>
          <w:lang w:val="en-US"/>
        </w:rPr>
        <w:t xml:space="preserve">, Döhler B, Opelz G. </w:t>
      </w:r>
      <w:r w:rsidRPr="00E40F70">
        <w:rPr>
          <w:rStyle w:val="Strong"/>
          <w:rFonts w:ascii="Arial" w:hAnsi="Arial" w:cs="Arial"/>
          <w:b w:val="0"/>
          <w:bCs w:val="0"/>
          <w:sz w:val="22"/>
          <w:szCs w:val="22"/>
          <w:lang w:val="en-US"/>
        </w:rPr>
        <w:t>No increase in colon cancer risk following induction with Neu5Gc-bearing rabbit anti-T cell IgG (ATG) in recipients of kidney transplants.</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Cancers 10:324-329, 5 pages, 2018 </w:t>
      </w:r>
    </w:p>
    <w:p w14:paraId="55A9C7A9"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lastRenderedPageBreak/>
        <w:t xml:space="preserve">Rupp C, Rössler A, Zhou T, Rauber C, Friedrich K, Wannhoff A, Weiss KH, Sauer P, Schirmacher P, </w:t>
      </w:r>
      <w:r w:rsidRPr="00E40F70">
        <w:rPr>
          <w:rFonts w:ascii="Arial" w:hAnsi="Arial" w:cs="Arial"/>
          <w:b/>
          <w:bCs/>
          <w:sz w:val="22"/>
          <w:szCs w:val="22"/>
          <w:lang w:val="en-US"/>
        </w:rPr>
        <w:t>Süsal C</w:t>
      </w:r>
      <w:r w:rsidRPr="00E40F70">
        <w:rPr>
          <w:rFonts w:ascii="Arial" w:hAnsi="Arial" w:cs="Arial"/>
          <w:sz w:val="22"/>
          <w:szCs w:val="22"/>
          <w:lang w:val="en-US"/>
        </w:rPr>
        <w:t xml:space="preserve">, Stremmel W, Gotthardt DN. </w:t>
      </w:r>
      <w:r w:rsidRPr="00E40F70">
        <w:rPr>
          <w:rStyle w:val="Strong"/>
          <w:rFonts w:ascii="Arial" w:hAnsi="Arial" w:cs="Arial"/>
          <w:b w:val="0"/>
          <w:bCs w:val="0"/>
          <w:sz w:val="22"/>
          <w:szCs w:val="22"/>
          <w:lang w:val="en-US"/>
        </w:rPr>
        <w:t>Impact of age at diagnosis on disease progression in patients with primary sclerosing cholangitis.</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United European Gastroenterol J 6:255-262, 2018 </w:t>
      </w:r>
    </w:p>
    <w:p w14:paraId="6D5D8BD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Krüger B, Döhler B, Opelz G, Krämer BK, </w:t>
      </w:r>
      <w:r w:rsidRPr="00E40F70">
        <w:rPr>
          <w:rFonts w:ascii="Arial" w:hAnsi="Arial" w:cs="Arial"/>
          <w:b/>
          <w:bCs/>
          <w:sz w:val="22"/>
          <w:szCs w:val="22"/>
          <w:lang w:val="en-US"/>
        </w:rPr>
        <w:t>Süsal C</w:t>
      </w:r>
      <w:r w:rsidRPr="00E40F70">
        <w:rPr>
          <w:rFonts w:ascii="Arial" w:hAnsi="Arial" w:cs="Arial"/>
          <w:sz w:val="22"/>
          <w:szCs w:val="22"/>
          <w:lang w:val="en-US"/>
        </w:rPr>
        <w:t xml:space="preserve">. </w:t>
      </w:r>
      <w:r w:rsidRPr="00E40F70">
        <w:rPr>
          <w:rStyle w:val="Strong"/>
          <w:rFonts w:ascii="Arial" w:hAnsi="Arial" w:cs="Arial"/>
          <w:b w:val="0"/>
          <w:bCs w:val="0"/>
          <w:sz w:val="22"/>
          <w:szCs w:val="22"/>
          <w:lang w:val="en-US"/>
        </w:rPr>
        <w:t>Pulse pressure and outcome in kidney transplantation: Results from the Collaborative Transplant Study</w:t>
      </w:r>
      <w:r w:rsidRPr="00E40F70">
        <w:rPr>
          <w:rStyle w:val="Strong"/>
          <w:rFonts w:ascii="Arial" w:hAnsi="Arial" w:cs="Arial"/>
          <w:b w:val="0"/>
          <w:sz w:val="22"/>
          <w:szCs w:val="22"/>
          <w:lang w:val="en-US"/>
        </w:rPr>
        <w:t xml:space="preserve">. </w:t>
      </w:r>
      <w:r w:rsidRPr="00E40F70">
        <w:rPr>
          <w:rFonts w:ascii="Arial" w:hAnsi="Arial" w:cs="Arial"/>
          <w:sz w:val="22"/>
          <w:szCs w:val="22"/>
          <w:lang w:val="en-US"/>
        </w:rPr>
        <w:t xml:space="preserve">Transplantation 103:772-780, 2019 </w:t>
      </w:r>
    </w:p>
    <w:p w14:paraId="38CB859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Unterrainer C, Opelz G, Döhler B, </w:t>
      </w:r>
      <w:r w:rsidRPr="00E40F70">
        <w:rPr>
          <w:rFonts w:ascii="Arial" w:hAnsi="Arial" w:cs="Arial"/>
          <w:b/>
          <w:bCs/>
          <w:sz w:val="22"/>
          <w:szCs w:val="22"/>
          <w:lang w:val="en-US"/>
        </w:rPr>
        <w:t>Süsal C.</w:t>
      </w:r>
      <w:r w:rsidRPr="00E40F70">
        <w:rPr>
          <w:rFonts w:ascii="Arial" w:hAnsi="Arial" w:cs="Arial"/>
          <w:sz w:val="22"/>
          <w:szCs w:val="22"/>
          <w:lang w:val="en-US"/>
        </w:rPr>
        <w:t xml:space="preserve"> Pretransplant cancer in kidney recipients in relation to recurrent and de novo cancer incidence posttransplantation and implications for graft and patient survival. Transplantation 103:581-587, 2019 </w:t>
      </w:r>
    </w:p>
    <w:p w14:paraId="72D09F5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Döhler B. Late intra-patient tacrolimus trough level variability as a major problem in kidney transplantation – A Collaborative Transplant Study Report. Am J Transplant 9:2805-2813, 2019 </w:t>
      </w:r>
    </w:p>
    <w:p w14:paraId="487D89E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Sexton DJ, O'Kelly P, Williams Y, Plant WD, Keogan M, Khalib K, Doyle B, Dorman A, </w:t>
      </w:r>
      <w:r w:rsidRPr="00E40F70">
        <w:rPr>
          <w:rFonts w:ascii="Arial" w:hAnsi="Arial" w:cs="Arial"/>
          <w:b/>
          <w:sz w:val="22"/>
          <w:szCs w:val="22"/>
          <w:lang w:val="en-US"/>
        </w:rPr>
        <w:t>Süsal C</w:t>
      </w:r>
      <w:r w:rsidRPr="00E40F70">
        <w:rPr>
          <w:rFonts w:ascii="Arial" w:hAnsi="Arial" w:cs="Arial"/>
          <w:sz w:val="22"/>
          <w:szCs w:val="22"/>
          <w:lang w:val="en-US"/>
        </w:rPr>
        <w:t xml:space="preserve">, Unterrainer C, Forde J, Power R, Smith G, Mohan P, Denton M, Magee C, de Freitas DG, Little D, O'Seaghdha CM, Conlon PJ. Progressive improvement in short-, medium- and long-term graft survival in kidney transplantation patients in Ireland - a retrospective study. Transpl Int 32:974-984, 2019 </w:t>
      </w:r>
    </w:p>
    <w:p w14:paraId="13200683"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Ziemann M, Altermann W, Angert K, Arns W, Bachmann A, Bakchoul T, Banas B, von Borstel A, Budde K, Ditt V, Einecke G, Eisenberger U, Feldkamp T, Görg S, Guthoff M, Habicht A, Hallensleben M, Heinemann FM, Hessler N, Hugo C, Kaufmann M, Kauke T, Koch M, König IR, Kurschat C, Lehmann C, Marget M, Mühlfeld A, Nitschke M, Pego da Silva L, Quick C, Rahmel A, Rath T, Reinke P, Renders L, Sommer F, Spriewald B, Staeck O, Stippel D, </w:t>
      </w:r>
      <w:r w:rsidRPr="00E40F70">
        <w:rPr>
          <w:rFonts w:ascii="Arial" w:hAnsi="Arial" w:cs="Arial"/>
          <w:b/>
          <w:sz w:val="22"/>
          <w:szCs w:val="22"/>
          <w:lang w:val="en-US"/>
        </w:rPr>
        <w:t>Süsal C</w:t>
      </w:r>
      <w:r w:rsidRPr="00E40F70">
        <w:rPr>
          <w:rFonts w:ascii="Arial" w:hAnsi="Arial" w:cs="Arial"/>
          <w:sz w:val="22"/>
          <w:szCs w:val="22"/>
          <w:lang w:val="en-US"/>
        </w:rPr>
        <w:t xml:space="preserve">, Thiele B, Zecher D, Lachmann N. Preformed Donor-Specific HLA Antibodies in Living and Deceased Donor Transplantation: A Multicenter Study. Clin J Am Soc Nephrol 14:1056-1066, 2019 </w:t>
      </w:r>
    </w:p>
    <w:p w14:paraId="4EA68DC8"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Speer C, Kälble F, Nusshag C, Pego da Silva L, Schaier M, Becker LE, Klein K, Sommerer C, Beimler J, Leo A, Waldherr R, Mehrabi A, </w:t>
      </w:r>
      <w:r w:rsidRPr="00E40F70">
        <w:rPr>
          <w:rFonts w:ascii="Arial" w:hAnsi="Arial" w:cs="Arial"/>
          <w:b/>
          <w:sz w:val="22"/>
          <w:szCs w:val="22"/>
          <w:lang w:val="en-US"/>
        </w:rPr>
        <w:t>Süsal C</w:t>
      </w:r>
      <w:r w:rsidRPr="00E40F70">
        <w:rPr>
          <w:rFonts w:ascii="Arial" w:hAnsi="Arial" w:cs="Arial"/>
          <w:sz w:val="22"/>
          <w:szCs w:val="22"/>
          <w:lang w:val="en-US"/>
        </w:rPr>
        <w:t xml:space="preserve">, Zeier M, Morath C. Outcomes and complications following ABO-incompatible kidney transplantation performed after desensitization by semi-selective immunoadsorption - a retrospective study. Transpl Int 32:1286-1296, 2019 </w:t>
      </w:r>
    </w:p>
    <w:p w14:paraId="669A025A"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Aykut G, Morath C, Fichtner A, Unterrainer C, Scherer S, Tran TH, Mehrabi A, Zeier M, Tönshoff B. Relevance of donor-specific antibody monitoring after kidney transplantation: Findings from the Collaborative Transplant Study and the Heidelberg Transplant Center. HLA 94 Suppl 2:11-15, 2019 </w:t>
      </w:r>
    </w:p>
    <w:p w14:paraId="3D59289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Speer C, Kälble F, Pego da Silva L, Nusshag C, Schaier M, Becker LE, Klein K, Beimler J, Sommerer C, Leo A, </w:t>
      </w:r>
      <w:r w:rsidRPr="00E40F70">
        <w:rPr>
          <w:rFonts w:ascii="Arial" w:hAnsi="Arial" w:cs="Arial"/>
          <w:b/>
          <w:sz w:val="22"/>
          <w:szCs w:val="22"/>
          <w:lang w:val="en-US"/>
        </w:rPr>
        <w:t>Süsal C</w:t>
      </w:r>
      <w:r w:rsidRPr="00E40F70">
        <w:rPr>
          <w:rFonts w:ascii="Arial" w:hAnsi="Arial" w:cs="Arial"/>
          <w:sz w:val="22"/>
          <w:szCs w:val="22"/>
          <w:lang w:val="en-US"/>
        </w:rPr>
        <w:t>, Mehrabi A, Zeier M, Morath C. Effectiveness of different immunoadsorption columns for anti-A/B antibody depletion. Atheroscler Suppl 40:68-72, 2019</w:t>
      </w:r>
      <w:r w:rsidRPr="00E40F70">
        <w:rPr>
          <w:lang w:val="en-US"/>
        </w:rPr>
        <w:t xml:space="preserve"> </w:t>
      </w:r>
    </w:p>
    <w:p w14:paraId="2076DFEE"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b/>
          <w:sz w:val="22"/>
          <w:szCs w:val="22"/>
          <w:lang w:val="en-US"/>
        </w:rPr>
        <w:lastRenderedPageBreak/>
        <w:t>Süsal C</w:t>
      </w:r>
      <w:r w:rsidRPr="00E40F70">
        <w:rPr>
          <w:rFonts w:ascii="Arial" w:hAnsi="Arial" w:cs="Arial"/>
          <w:sz w:val="22"/>
          <w:szCs w:val="22"/>
          <w:lang w:val="en-US"/>
        </w:rPr>
        <w:t xml:space="preserve">, Kumru G, Döhler B, Morath C, Baas M, Lutz J, Unterrainer C, Arns W, Aubert O, Bara C, Beiras-Fernandez A, Böhmig GA, Bösmüller C, Diekmann F, Dutkowski P, Hauser I, Legendre C, Lozanovski VJ, Mehrabi A, Melk A, Minor T, Mueller TF, Pisarski P, Rostaing L, Schemmer P, Schneeberger S, Schwenger V, Sommerer C, Tönshoff B, Viebahn R, Viklicky O, Weimer R, Weiss KH, Zeier M, Živčić-Ćosić S, Heemann U. Should kidney allografts from old donors be allocated only to old recipients? Transpl Int 33:849-857, 2020 </w:t>
      </w:r>
    </w:p>
    <w:p w14:paraId="0B797459"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sz w:val="22"/>
          <w:szCs w:val="22"/>
          <w:lang w:val="en-US"/>
        </w:rPr>
        <w:t xml:space="preserve">Houben P, Döhler B, Weiß KH, Mieth M, Mehrabi A, </w:t>
      </w:r>
      <w:r w:rsidRPr="00E40F70">
        <w:rPr>
          <w:rFonts w:ascii="Arial" w:hAnsi="Arial" w:cs="Arial"/>
          <w:b/>
          <w:sz w:val="22"/>
          <w:szCs w:val="22"/>
          <w:lang w:val="en-US"/>
        </w:rPr>
        <w:t>Süsal C</w:t>
      </w:r>
      <w:r w:rsidRPr="00E40F70">
        <w:rPr>
          <w:rFonts w:ascii="Arial" w:hAnsi="Arial" w:cs="Arial"/>
          <w:sz w:val="22"/>
          <w:szCs w:val="22"/>
          <w:lang w:val="en-US"/>
        </w:rPr>
        <w:t xml:space="preserve">. Differential Influence of Donor Age Depending on the Indication for Liver Transplantation-A Collaborative Transplant Study Report. Transplantation 104:779-787, 2020 </w:t>
      </w:r>
    </w:p>
    <w:p w14:paraId="4D71275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Döhler B, Kälble F, Pego da Silva L, Echterdiek F, Schwenger V, Živčić-Ćosić S, Katalinić N, Kuypers D, Benöhr P, Haubitz M, Ziemann M, Nitschke M, Emmerich F, Pisarski P, Karakizlis H, Weimer R, Ruhenstroth A, Scherer S, Tran TH, Mehrabi A, Zeier M, </w:t>
      </w:r>
      <w:r w:rsidRPr="00E40F70">
        <w:rPr>
          <w:rFonts w:ascii="Arial" w:hAnsi="Arial" w:cs="Arial"/>
          <w:b/>
          <w:sz w:val="22"/>
          <w:szCs w:val="22"/>
          <w:lang w:val="en-US"/>
        </w:rPr>
        <w:t>Süsal C</w:t>
      </w:r>
      <w:r w:rsidRPr="00E40F70">
        <w:rPr>
          <w:rFonts w:ascii="Arial" w:hAnsi="Arial" w:cs="Arial"/>
          <w:sz w:val="22"/>
          <w:szCs w:val="22"/>
          <w:lang w:val="en-US"/>
        </w:rPr>
        <w:t>. Pre-transplant HLA Antibodies and Delayed Graft Function in the Current Era of Kidney Transplantation. Front Immunol 11:1886, 2020</w:t>
      </w:r>
    </w:p>
    <w:p w14:paraId="08FFFAFF"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Lozanovski VJ, Döhler B, Weiss KH, Mehrabi A, </w:t>
      </w:r>
      <w:r w:rsidRPr="00E40F70">
        <w:rPr>
          <w:rFonts w:ascii="Arial" w:hAnsi="Arial" w:cs="Arial"/>
          <w:b/>
          <w:sz w:val="22"/>
          <w:szCs w:val="22"/>
          <w:lang w:val="en-US"/>
        </w:rPr>
        <w:t>Süsal C</w:t>
      </w:r>
      <w:r w:rsidRPr="00E40F70">
        <w:rPr>
          <w:rFonts w:ascii="Arial" w:hAnsi="Arial" w:cs="Arial"/>
          <w:sz w:val="22"/>
          <w:szCs w:val="22"/>
          <w:lang w:val="en-US"/>
        </w:rPr>
        <w:t xml:space="preserve">. The Differential Influence of Cold Ischemia Time on Outcome After Liver Transplantation for Different Indications-Who Is at Risk? A Collaborative Transplant Study Report. Front Immunol 11:892, 2020 </w:t>
      </w:r>
    </w:p>
    <w:p w14:paraId="5F4CC4C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Gold A, Tönshoff B, Döhler B, </w:t>
      </w:r>
      <w:r w:rsidRPr="00E40F70">
        <w:rPr>
          <w:rFonts w:ascii="Arial" w:hAnsi="Arial" w:cs="Arial"/>
          <w:b/>
          <w:sz w:val="22"/>
          <w:szCs w:val="22"/>
          <w:lang w:val="en-US"/>
        </w:rPr>
        <w:t>Süsal C</w:t>
      </w:r>
      <w:r w:rsidRPr="00E40F70">
        <w:rPr>
          <w:rFonts w:ascii="Arial" w:hAnsi="Arial" w:cs="Arial"/>
          <w:sz w:val="22"/>
          <w:szCs w:val="22"/>
          <w:lang w:val="en-US"/>
        </w:rPr>
        <w:t xml:space="preserve">. Association of graft survival with tacrolimus exposure and late intra-patient tacrolimus variability in pediatric and young adult renal transplant recipients-an international CTS registry analysis. Transpl Int </w:t>
      </w:r>
      <w:r w:rsidR="00D027C5" w:rsidRPr="00D027C5">
        <w:rPr>
          <w:rFonts w:ascii="Arial" w:hAnsi="Arial" w:cs="Arial"/>
          <w:sz w:val="22"/>
          <w:szCs w:val="22"/>
        </w:rPr>
        <w:t>33:1681</w:t>
      </w:r>
      <w:r w:rsidR="00FE48E7">
        <w:rPr>
          <w:rFonts w:ascii="Arial" w:hAnsi="Arial" w:cs="Arial"/>
          <w:sz w:val="22"/>
          <w:szCs w:val="22"/>
        </w:rPr>
        <w:t>-1692</w:t>
      </w:r>
      <w:r w:rsidR="00D027C5">
        <w:rPr>
          <w:rFonts w:ascii="Arial" w:hAnsi="Arial" w:cs="Arial"/>
          <w:sz w:val="22"/>
          <w:szCs w:val="22"/>
        </w:rPr>
        <w:t>,</w:t>
      </w:r>
      <w:r w:rsidR="00D027C5" w:rsidRPr="00D027C5">
        <w:rPr>
          <w:rFonts w:ascii="Arial" w:hAnsi="Arial" w:cs="Arial"/>
          <w:sz w:val="22"/>
          <w:szCs w:val="22"/>
          <w:lang w:val="en-US"/>
        </w:rPr>
        <w:t xml:space="preserve"> </w:t>
      </w:r>
      <w:r w:rsidRPr="00E40F70">
        <w:rPr>
          <w:rFonts w:ascii="Arial" w:hAnsi="Arial" w:cs="Arial"/>
          <w:sz w:val="22"/>
          <w:szCs w:val="22"/>
          <w:lang w:val="en-US"/>
        </w:rPr>
        <w:t xml:space="preserve">2020 </w:t>
      </w:r>
    </w:p>
    <w:p w14:paraId="1F26E73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Echterdiek F, Schwenger V, Döhler B, Latus J, Kitterer D, Heemann U, </w:t>
      </w:r>
      <w:r w:rsidRPr="00E40F70">
        <w:rPr>
          <w:rFonts w:ascii="Arial" w:hAnsi="Arial" w:cs="Arial"/>
          <w:b/>
          <w:sz w:val="22"/>
          <w:szCs w:val="22"/>
          <w:lang w:val="en-US"/>
        </w:rPr>
        <w:t>Süsal C.</w:t>
      </w:r>
      <w:r w:rsidRPr="00E40F70">
        <w:rPr>
          <w:rFonts w:ascii="Arial" w:hAnsi="Arial" w:cs="Arial"/>
          <w:sz w:val="22"/>
          <w:szCs w:val="22"/>
          <w:lang w:val="en-US"/>
        </w:rPr>
        <w:t xml:space="preserve"> Kidneys From Elderly Deceased Donors-Is 70 the New 60? Front Immunol 10:2701, 2019 </w:t>
      </w:r>
    </w:p>
    <w:p w14:paraId="3280A3F6" w14:textId="77777777" w:rsidR="00616F9A" w:rsidRPr="00616F9A"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Schmitt A, Kleist C, Daniel V, Opelz G, </w:t>
      </w:r>
      <w:r w:rsidRPr="00E40F70">
        <w:rPr>
          <w:rFonts w:ascii="Arial" w:hAnsi="Arial" w:cs="Arial"/>
          <w:b/>
          <w:sz w:val="22"/>
          <w:szCs w:val="22"/>
          <w:lang w:val="en-US"/>
        </w:rPr>
        <w:t>Süsal C</w:t>
      </w:r>
      <w:r w:rsidRPr="00E40F70">
        <w:rPr>
          <w:rFonts w:ascii="Arial" w:hAnsi="Arial" w:cs="Arial"/>
          <w:sz w:val="22"/>
          <w:szCs w:val="22"/>
          <w:lang w:val="en-US"/>
        </w:rPr>
        <w:t xml:space="preserve">, Ibrahim E, Kälble F, Speer C, Nusshag C, Pego da Silva L, Sommerer C, Wang L, Ni M, Hückelhoven-Krauss A, Czock D, Merle U, Mehrabi A, Sander A, Hackbusch M, Eckert C, Waldherr R, Schnitzler P, Müller-Tidow C, Hoheisel JD, Mustafa SA, Alhamdani MS, Bauer AS, Reiser J, Zeier M, Schmitt M, Schaier M, Terness P. Phase I trial of donor-derived modified immune cell infusion in kidney transplantation. J Clin Invest 130:2364-2376, 2020 </w:t>
      </w:r>
    </w:p>
    <w:p w14:paraId="0C1EE7B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Echterdiek F, Latus J, Döhler B, Schwenger V, </w:t>
      </w:r>
      <w:r w:rsidRPr="00E40F70">
        <w:rPr>
          <w:rFonts w:ascii="Arial" w:hAnsi="Arial" w:cs="Arial"/>
          <w:b/>
          <w:sz w:val="22"/>
          <w:szCs w:val="22"/>
          <w:lang w:val="en-US"/>
        </w:rPr>
        <w:t>Süsal C</w:t>
      </w:r>
      <w:r w:rsidRPr="00E40F70">
        <w:rPr>
          <w:rFonts w:ascii="Arial" w:hAnsi="Arial" w:cs="Arial"/>
          <w:sz w:val="22"/>
          <w:szCs w:val="22"/>
          <w:lang w:val="en-US"/>
        </w:rPr>
        <w:t xml:space="preserve">. Impact of HLA compatibility in recipients of kidneys from expanded criteria donors: A Collaborative Transplant Study Report. Int J Immunogenet </w:t>
      </w:r>
      <w:r w:rsidRPr="00616F9A">
        <w:rPr>
          <w:rFonts w:ascii="Arial" w:hAnsi="Arial" w:cs="Arial"/>
          <w:sz w:val="22"/>
          <w:szCs w:val="22"/>
        </w:rPr>
        <w:t>48:201</w:t>
      </w:r>
      <w:r w:rsidR="00C373F9">
        <w:rPr>
          <w:rFonts w:ascii="Arial" w:hAnsi="Arial" w:cs="Arial"/>
          <w:sz w:val="22"/>
          <w:szCs w:val="22"/>
        </w:rPr>
        <w:t>-210</w:t>
      </w:r>
      <w:r>
        <w:rPr>
          <w:rFonts w:ascii="Arial" w:hAnsi="Arial" w:cs="Arial"/>
          <w:sz w:val="22"/>
          <w:szCs w:val="22"/>
        </w:rPr>
        <w:t>,</w:t>
      </w:r>
      <w:r w:rsidRPr="00616F9A">
        <w:rPr>
          <w:rFonts w:ascii="Arial" w:hAnsi="Arial" w:cs="Arial"/>
          <w:sz w:val="22"/>
          <w:szCs w:val="22"/>
          <w:lang w:val="en-US"/>
        </w:rPr>
        <w:t xml:space="preserve"> </w:t>
      </w:r>
      <w:r w:rsidRPr="00E40F70">
        <w:rPr>
          <w:rFonts w:ascii="Arial" w:hAnsi="Arial" w:cs="Arial"/>
          <w:sz w:val="22"/>
          <w:szCs w:val="22"/>
          <w:lang w:val="en-US"/>
        </w:rPr>
        <w:t>202</w:t>
      </w:r>
      <w:r>
        <w:rPr>
          <w:rFonts w:ascii="Arial" w:hAnsi="Arial" w:cs="Arial"/>
          <w:sz w:val="22"/>
          <w:szCs w:val="22"/>
          <w:lang w:val="en-US"/>
        </w:rPr>
        <w:t>1</w:t>
      </w:r>
      <w:r w:rsidRPr="00E40F70">
        <w:rPr>
          <w:rFonts w:ascii="Arial" w:hAnsi="Arial" w:cs="Arial"/>
          <w:sz w:val="22"/>
          <w:szCs w:val="22"/>
          <w:lang w:val="en-US"/>
        </w:rPr>
        <w:t xml:space="preserve"> </w:t>
      </w:r>
    </w:p>
    <w:p w14:paraId="18AB242E" w14:textId="77777777" w:rsidR="00D027C5" w:rsidRPr="00D027C5" w:rsidRDefault="00D027C5" w:rsidP="00D027C5">
      <w:pPr>
        <w:numPr>
          <w:ilvl w:val="0"/>
          <w:numId w:val="1"/>
        </w:numPr>
        <w:shd w:val="clear" w:color="auto" w:fill="FFFFFF"/>
        <w:tabs>
          <w:tab w:val="left" w:pos="0"/>
        </w:tabs>
        <w:spacing w:before="120" w:line="320" w:lineRule="exact"/>
        <w:rPr>
          <w:rFonts w:ascii="Arial" w:hAnsi="Arial" w:cs="Arial"/>
          <w:sz w:val="22"/>
          <w:szCs w:val="22"/>
          <w:lang w:val="en-US"/>
        </w:rPr>
      </w:pPr>
      <w:r w:rsidRPr="00D027C5">
        <w:rPr>
          <w:rFonts w:ascii="Arial" w:hAnsi="Arial" w:cs="Arial"/>
          <w:sz w:val="22"/>
          <w:szCs w:val="22"/>
          <w:lang w:val="en-US"/>
        </w:rPr>
        <w:t xml:space="preserve">Speer C, Schaier M, Nusshag C, Töllner M, Buylaert M, Kälble F, Reichel P, Grenz J, </w:t>
      </w:r>
      <w:r w:rsidRPr="00A866EC">
        <w:rPr>
          <w:rFonts w:ascii="Arial" w:hAnsi="Arial" w:cs="Arial"/>
          <w:b/>
          <w:sz w:val="22"/>
          <w:szCs w:val="22"/>
          <w:lang w:val="en-US"/>
        </w:rPr>
        <w:t>Süsal C</w:t>
      </w:r>
      <w:r w:rsidRPr="00D027C5">
        <w:rPr>
          <w:rFonts w:ascii="Arial" w:hAnsi="Arial" w:cs="Arial"/>
          <w:sz w:val="22"/>
          <w:szCs w:val="22"/>
          <w:lang w:val="en-US"/>
        </w:rPr>
        <w:t>, Zeier M, Schnitzler P, Morath C, Klein K, Benning L. Longitudinal Humoral Responses after COVID-19 Vaccination in Peritoneal and Hemodialysis Patients over Twelve Weeks.</w:t>
      </w:r>
      <w:r>
        <w:rPr>
          <w:rFonts w:ascii="Arial" w:hAnsi="Arial" w:cs="Arial"/>
          <w:sz w:val="22"/>
          <w:szCs w:val="22"/>
          <w:lang w:val="en-US"/>
        </w:rPr>
        <w:t xml:space="preserve"> </w:t>
      </w:r>
      <w:r w:rsidRPr="00D027C5">
        <w:rPr>
          <w:rFonts w:ascii="Arial" w:hAnsi="Arial" w:cs="Arial"/>
          <w:sz w:val="22"/>
          <w:szCs w:val="22"/>
          <w:lang w:val="en-US"/>
        </w:rPr>
        <w:t>Vaccines 9:1130</w:t>
      </w:r>
      <w:r>
        <w:rPr>
          <w:rFonts w:ascii="Arial" w:hAnsi="Arial" w:cs="Arial"/>
          <w:sz w:val="22"/>
          <w:szCs w:val="22"/>
          <w:lang w:val="en-US"/>
        </w:rPr>
        <w:t xml:space="preserve">, </w:t>
      </w:r>
      <w:r w:rsidR="005D0BA8">
        <w:rPr>
          <w:rFonts w:ascii="Arial" w:hAnsi="Arial" w:cs="Arial"/>
          <w:sz w:val="22"/>
          <w:szCs w:val="22"/>
          <w:lang w:val="en-US"/>
        </w:rPr>
        <w:t>2021</w:t>
      </w:r>
      <w:r w:rsidRPr="00D027C5">
        <w:rPr>
          <w:rFonts w:ascii="Arial" w:hAnsi="Arial" w:cs="Arial"/>
          <w:sz w:val="22"/>
          <w:szCs w:val="22"/>
          <w:lang w:val="en-US"/>
        </w:rPr>
        <w:t xml:space="preserve"> </w:t>
      </w:r>
    </w:p>
    <w:p w14:paraId="7897B8FF" w14:textId="77777777" w:rsidR="00D027C5" w:rsidRPr="00D027C5" w:rsidRDefault="00D027C5" w:rsidP="00D027C5">
      <w:pPr>
        <w:numPr>
          <w:ilvl w:val="0"/>
          <w:numId w:val="1"/>
        </w:numPr>
        <w:shd w:val="clear" w:color="auto" w:fill="FFFFFF"/>
        <w:tabs>
          <w:tab w:val="left" w:pos="0"/>
        </w:tabs>
        <w:spacing w:before="120" w:line="320" w:lineRule="exact"/>
        <w:rPr>
          <w:rFonts w:ascii="Arial" w:hAnsi="Arial" w:cs="Arial"/>
          <w:sz w:val="22"/>
          <w:szCs w:val="22"/>
          <w:lang w:val="en-US"/>
        </w:rPr>
      </w:pPr>
      <w:r w:rsidRPr="00D027C5">
        <w:rPr>
          <w:rFonts w:ascii="Arial" w:hAnsi="Arial" w:cs="Arial"/>
          <w:sz w:val="22"/>
          <w:szCs w:val="22"/>
          <w:lang w:val="en-US"/>
        </w:rPr>
        <w:lastRenderedPageBreak/>
        <w:t xml:space="preserve">Wahrmann M, Döhler B, Arnold ML, Scherer S, Mayer KA, Haindl S, Haslacher H, Böhmig GA, </w:t>
      </w:r>
      <w:r w:rsidRPr="00A866EC">
        <w:rPr>
          <w:rFonts w:ascii="Arial" w:hAnsi="Arial" w:cs="Arial"/>
          <w:b/>
          <w:sz w:val="22"/>
          <w:szCs w:val="22"/>
          <w:lang w:val="en-US"/>
        </w:rPr>
        <w:t>Süsal C</w:t>
      </w:r>
      <w:r w:rsidRPr="00D027C5">
        <w:rPr>
          <w:rFonts w:ascii="Arial" w:hAnsi="Arial" w:cs="Arial"/>
          <w:sz w:val="22"/>
          <w:szCs w:val="22"/>
          <w:lang w:val="en-US"/>
        </w:rPr>
        <w:t>. Functional Fc Gamma Receptor Gene Polymorphisms and Long-Term Kidney Allograft Survival.</w:t>
      </w:r>
      <w:r>
        <w:rPr>
          <w:rFonts w:ascii="Arial" w:hAnsi="Arial" w:cs="Arial"/>
          <w:sz w:val="22"/>
          <w:szCs w:val="22"/>
          <w:lang w:val="en-US"/>
        </w:rPr>
        <w:t xml:space="preserve"> </w:t>
      </w:r>
      <w:r w:rsidRPr="00D027C5">
        <w:rPr>
          <w:rFonts w:ascii="Arial" w:hAnsi="Arial" w:cs="Arial"/>
          <w:sz w:val="22"/>
          <w:szCs w:val="22"/>
          <w:lang w:val="en-US"/>
        </w:rPr>
        <w:t>Front Immunol 12:724331</w:t>
      </w:r>
      <w:r>
        <w:rPr>
          <w:rFonts w:ascii="Arial" w:hAnsi="Arial" w:cs="Arial"/>
          <w:sz w:val="22"/>
          <w:szCs w:val="22"/>
          <w:lang w:val="en-US"/>
        </w:rPr>
        <w:t xml:space="preserve">, </w:t>
      </w:r>
      <w:r w:rsidRPr="00D027C5">
        <w:rPr>
          <w:rFonts w:ascii="Arial" w:hAnsi="Arial" w:cs="Arial"/>
          <w:sz w:val="22"/>
          <w:szCs w:val="22"/>
          <w:lang w:val="en-US"/>
        </w:rPr>
        <w:t>2021</w:t>
      </w:r>
      <w:r>
        <w:rPr>
          <w:rFonts w:ascii="Arial" w:hAnsi="Arial" w:cs="Arial"/>
          <w:sz w:val="22"/>
          <w:szCs w:val="22"/>
          <w:lang w:val="en-US"/>
        </w:rPr>
        <w:t xml:space="preserve"> </w:t>
      </w:r>
    </w:p>
    <w:p w14:paraId="6FA108FE" w14:textId="77777777" w:rsidR="00D027C5" w:rsidRPr="00D027C5"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D027C5">
        <w:rPr>
          <w:rFonts w:ascii="Arial" w:hAnsi="Arial" w:cs="Arial"/>
          <w:sz w:val="22"/>
          <w:szCs w:val="22"/>
          <w:lang w:val="en-US"/>
        </w:rPr>
        <w:t xml:space="preserve">Speer C, Morath C, Töllner M, Buylaert M, Göth D, Nusshag C, Kälble F, Schaier M, Grenz J, Kreysing M, Reichel P, Hidmark A, Ponath G, Schnitzler P, Zeier M, </w:t>
      </w:r>
      <w:r w:rsidRPr="00A866EC">
        <w:rPr>
          <w:rFonts w:ascii="Arial" w:hAnsi="Arial" w:cs="Arial"/>
          <w:b/>
          <w:sz w:val="22"/>
          <w:szCs w:val="22"/>
          <w:lang w:val="en-US"/>
        </w:rPr>
        <w:t>Süsal C</w:t>
      </w:r>
      <w:r w:rsidRPr="00D027C5">
        <w:rPr>
          <w:rFonts w:ascii="Arial" w:hAnsi="Arial" w:cs="Arial"/>
          <w:sz w:val="22"/>
          <w:szCs w:val="22"/>
          <w:lang w:val="en-US"/>
        </w:rPr>
        <w:t>, Klein K, Benning L. Humoral Responses to Single-Dose BNT162b2 mRNA Vaccination in Dialysis Patients Previously Infected With SARS-CoV-2.</w:t>
      </w:r>
      <w:r>
        <w:rPr>
          <w:rFonts w:ascii="Arial" w:hAnsi="Arial" w:cs="Arial"/>
          <w:sz w:val="22"/>
          <w:szCs w:val="22"/>
          <w:lang w:val="en-US"/>
        </w:rPr>
        <w:t xml:space="preserve"> </w:t>
      </w:r>
      <w:r w:rsidRPr="00D027C5">
        <w:rPr>
          <w:rFonts w:ascii="Arial" w:hAnsi="Arial" w:cs="Arial"/>
          <w:sz w:val="22"/>
          <w:szCs w:val="22"/>
          <w:lang w:val="en-US"/>
        </w:rPr>
        <w:t>Front Med 8:721286</w:t>
      </w:r>
      <w:r w:rsidR="005D0BA8">
        <w:rPr>
          <w:rFonts w:ascii="Arial" w:hAnsi="Arial" w:cs="Arial"/>
          <w:sz w:val="22"/>
          <w:szCs w:val="22"/>
          <w:lang w:val="en-US"/>
        </w:rPr>
        <w:t>, 2021</w:t>
      </w:r>
      <w:r w:rsidRPr="00D027C5">
        <w:rPr>
          <w:rFonts w:ascii="Arial" w:hAnsi="Arial" w:cs="Arial"/>
          <w:sz w:val="22"/>
          <w:szCs w:val="22"/>
          <w:lang w:val="en-US"/>
        </w:rPr>
        <w:t xml:space="preserve"> </w:t>
      </w:r>
    </w:p>
    <w:p w14:paraId="0FE2E9F1" w14:textId="77777777" w:rsidR="00D027C5" w:rsidRPr="005D0BA8"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Tang C, Unterrainer C, Fink A, Cinca S, Ruhenstroth A, Scherer S, Morath C, Zeier M, Mehrabi A, </w:t>
      </w:r>
      <w:r w:rsidRPr="00A866EC">
        <w:rPr>
          <w:rFonts w:ascii="Arial" w:hAnsi="Arial" w:cs="Arial"/>
          <w:b/>
          <w:sz w:val="22"/>
          <w:szCs w:val="22"/>
          <w:lang w:val="en-US"/>
        </w:rPr>
        <w:t>Süsal C</w:t>
      </w:r>
      <w:r w:rsidRPr="005D0BA8">
        <w:rPr>
          <w:rFonts w:ascii="Arial" w:hAnsi="Arial" w:cs="Arial"/>
          <w:sz w:val="22"/>
          <w:szCs w:val="22"/>
          <w:lang w:val="en-US"/>
        </w:rPr>
        <w:t>, Tran TH.</w:t>
      </w:r>
      <w:r w:rsidR="005D0BA8" w:rsidRPr="005D0BA8">
        <w:rPr>
          <w:rFonts w:ascii="Arial" w:hAnsi="Arial" w:cs="Arial"/>
          <w:sz w:val="22"/>
          <w:szCs w:val="22"/>
          <w:lang w:val="en-US"/>
        </w:rPr>
        <w:t xml:space="preserve"> Analysis of de novo donor-specific HLA-DPB1 antibodies in kidney transplantation.</w:t>
      </w:r>
      <w:r w:rsidR="005D0BA8">
        <w:rPr>
          <w:rFonts w:ascii="Arial" w:hAnsi="Arial" w:cs="Arial"/>
          <w:sz w:val="22"/>
          <w:szCs w:val="22"/>
          <w:lang w:val="en-US"/>
        </w:rPr>
        <w:t xml:space="preserve"> </w:t>
      </w:r>
      <w:r w:rsidRPr="005D0BA8">
        <w:rPr>
          <w:rFonts w:ascii="Arial" w:hAnsi="Arial" w:cs="Arial"/>
          <w:sz w:val="22"/>
          <w:szCs w:val="22"/>
          <w:lang w:val="en-US"/>
        </w:rPr>
        <w:t>HLA</w:t>
      </w:r>
      <w:r w:rsidR="005D0BA8">
        <w:rPr>
          <w:rFonts w:ascii="Arial" w:hAnsi="Arial" w:cs="Arial"/>
          <w:sz w:val="22"/>
          <w:szCs w:val="22"/>
          <w:lang w:val="en-US"/>
        </w:rPr>
        <w:t xml:space="preserve"> </w:t>
      </w:r>
      <w:r w:rsidRPr="005D0BA8">
        <w:rPr>
          <w:rFonts w:ascii="Arial" w:hAnsi="Arial" w:cs="Arial"/>
          <w:sz w:val="22"/>
          <w:szCs w:val="22"/>
          <w:lang w:val="en-US"/>
        </w:rPr>
        <w:t>98:423</w:t>
      </w:r>
      <w:r w:rsidR="00686CBB">
        <w:rPr>
          <w:rFonts w:ascii="Arial" w:hAnsi="Arial" w:cs="Arial"/>
          <w:sz w:val="22"/>
          <w:szCs w:val="22"/>
          <w:lang w:val="en-US"/>
        </w:rPr>
        <w:t>-430</w:t>
      </w:r>
      <w:r w:rsidR="005D0BA8">
        <w:rPr>
          <w:rFonts w:ascii="Arial" w:hAnsi="Arial" w:cs="Arial"/>
          <w:sz w:val="22"/>
          <w:szCs w:val="22"/>
          <w:lang w:val="en-US"/>
        </w:rPr>
        <w:t>, 2021</w:t>
      </w:r>
    </w:p>
    <w:p w14:paraId="0F358B29" w14:textId="77777777" w:rsidR="005D0BA8"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 Benning L, Töllner M, Hidmark A, Schaier M, Nusshag C, Kälble F, Reichel P, Buylaert M, Grenz J, Ponath G, Klein K, Zeier M, </w:t>
      </w:r>
      <w:r w:rsidRPr="00A866EC">
        <w:rPr>
          <w:rFonts w:ascii="Arial" w:hAnsi="Arial" w:cs="Arial"/>
          <w:b/>
          <w:sz w:val="22"/>
          <w:szCs w:val="22"/>
          <w:lang w:val="en-US"/>
        </w:rPr>
        <w:t>Süsal C</w:t>
      </w:r>
      <w:r w:rsidRPr="005D0BA8">
        <w:rPr>
          <w:rFonts w:ascii="Arial" w:hAnsi="Arial" w:cs="Arial"/>
          <w:sz w:val="22"/>
          <w:szCs w:val="22"/>
          <w:lang w:val="en-US"/>
        </w:rPr>
        <w:t>, Schnitzler P, Morath C, Speer C.</w:t>
      </w:r>
      <w:r w:rsidR="005D0BA8" w:rsidRPr="005D0BA8">
        <w:rPr>
          <w:rFonts w:ascii="Arial" w:hAnsi="Arial" w:cs="Arial"/>
          <w:sz w:val="22"/>
          <w:szCs w:val="22"/>
          <w:lang w:val="en-US"/>
        </w:rPr>
        <w:t xml:space="preserve"> Heterologous ChAdOx1 nCoV-19/BNT162b2 Prime-Boost Vaccination Induces Strong Humoral Responses among Health Care Workers.</w:t>
      </w:r>
      <w:r w:rsidR="005D0BA8">
        <w:rPr>
          <w:rFonts w:ascii="Arial" w:hAnsi="Arial" w:cs="Arial"/>
          <w:sz w:val="22"/>
          <w:szCs w:val="22"/>
          <w:lang w:val="en-US"/>
        </w:rPr>
        <w:t xml:space="preserve"> </w:t>
      </w:r>
      <w:r w:rsidRPr="005D0BA8">
        <w:rPr>
          <w:rFonts w:ascii="Arial" w:hAnsi="Arial" w:cs="Arial"/>
          <w:sz w:val="22"/>
          <w:szCs w:val="22"/>
          <w:lang w:val="en-US"/>
        </w:rPr>
        <w:t>Vaccines 9:857</w:t>
      </w:r>
      <w:r w:rsidR="005D0BA8">
        <w:rPr>
          <w:rFonts w:ascii="Arial" w:hAnsi="Arial" w:cs="Arial"/>
          <w:sz w:val="22"/>
          <w:szCs w:val="22"/>
          <w:lang w:val="en-US"/>
        </w:rPr>
        <w:t>, 2021</w:t>
      </w:r>
    </w:p>
    <w:p w14:paraId="142857BF" w14:textId="77777777" w:rsidR="00D027C5" w:rsidRPr="00D027C5"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Speer C, Benning L, Töllner M, Nusshag C, Kälble F, Reichel P, Schaier M, Bartenschlager M, Schnitzler P, Zeier M, </w:t>
      </w:r>
      <w:r w:rsidRPr="00A866EC">
        <w:rPr>
          <w:rFonts w:ascii="Arial" w:hAnsi="Arial" w:cs="Arial"/>
          <w:b/>
          <w:sz w:val="22"/>
          <w:szCs w:val="22"/>
          <w:lang w:val="en-US"/>
        </w:rPr>
        <w:t>Süsal C</w:t>
      </w:r>
      <w:r w:rsidRPr="005D0BA8">
        <w:rPr>
          <w:rFonts w:ascii="Arial" w:hAnsi="Arial" w:cs="Arial"/>
          <w:sz w:val="22"/>
          <w:szCs w:val="22"/>
          <w:lang w:val="en-US"/>
        </w:rPr>
        <w:t>, Morath C, Bartenschlager R.</w:t>
      </w:r>
      <w:r w:rsidR="005D0BA8" w:rsidRPr="005D0BA8">
        <w:rPr>
          <w:rFonts w:ascii="Arial" w:hAnsi="Arial" w:cs="Arial"/>
          <w:sz w:val="22"/>
          <w:szCs w:val="22"/>
          <w:lang w:val="en-US"/>
        </w:rPr>
        <w:t xml:space="preserve"> Neutralizing antibody response against variants of concern after vaccination of dialysis patients with BNT162b2.</w:t>
      </w:r>
      <w:r w:rsidR="005D0BA8">
        <w:rPr>
          <w:rFonts w:ascii="Arial" w:hAnsi="Arial" w:cs="Arial"/>
          <w:sz w:val="22"/>
          <w:szCs w:val="22"/>
          <w:lang w:val="en-US"/>
        </w:rPr>
        <w:t xml:space="preserve"> Kidney Int</w:t>
      </w:r>
      <w:r w:rsidRPr="005D0BA8">
        <w:rPr>
          <w:rFonts w:ascii="Arial" w:hAnsi="Arial" w:cs="Arial"/>
          <w:sz w:val="22"/>
          <w:szCs w:val="22"/>
          <w:lang w:val="en-US"/>
        </w:rPr>
        <w:t xml:space="preserve"> 100:700</w:t>
      </w:r>
      <w:r w:rsidR="00DD6B87">
        <w:rPr>
          <w:rFonts w:ascii="Arial" w:hAnsi="Arial" w:cs="Arial"/>
          <w:sz w:val="22"/>
          <w:szCs w:val="22"/>
          <w:lang w:val="en-US"/>
        </w:rPr>
        <w:t>-702</w:t>
      </w:r>
      <w:r w:rsidR="005D0BA8">
        <w:rPr>
          <w:rFonts w:ascii="Arial" w:hAnsi="Arial" w:cs="Arial"/>
          <w:sz w:val="22"/>
          <w:szCs w:val="22"/>
          <w:lang w:val="en-US"/>
        </w:rPr>
        <w:t xml:space="preserve">, 2021 </w:t>
      </w:r>
    </w:p>
    <w:p w14:paraId="6ABB0889" w14:textId="77777777" w:rsidR="00D027C5" w:rsidRPr="005D0BA8"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Ibrahim EH, Aly M, Morath C, Sayed DM, Ekpoom N, Opelz G, </w:t>
      </w:r>
      <w:r w:rsidRPr="00A866EC">
        <w:rPr>
          <w:rFonts w:ascii="Arial" w:hAnsi="Arial" w:cs="Arial"/>
          <w:b/>
          <w:sz w:val="22"/>
          <w:szCs w:val="22"/>
          <w:lang w:val="en-US"/>
        </w:rPr>
        <w:t>Süsal C</w:t>
      </w:r>
      <w:r w:rsidRPr="005D0BA8">
        <w:rPr>
          <w:rFonts w:ascii="Arial" w:hAnsi="Arial" w:cs="Arial"/>
          <w:sz w:val="22"/>
          <w:szCs w:val="22"/>
          <w:lang w:val="en-US"/>
        </w:rPr>
        <w:t>, Daniel V.</w:t>
      </w:r>
      <w:r w:rsidR="005D0BA8" w:rsidRPr="005D0BA8">
        <w:rPr>
          <w:rFonts w:ascii="Arial" w:hAnsi="Arial" w:cs="Arial"/>
          <w:sz w:val="22"/>
          <w:szCs w:val="22"/>
          <w:lang w:val="en-US"/>
        </w:rPr>
        <w:t xml:space="preserve"> Relationship of transitional regulatory B and regulatory T cells and immunosuppressive drug doses in stable renal transplant recipients.</w:t>
      </w:r>
      <w:r w:rsidR="005D0BA8">
        <w:rPr>
          <w:rFonts w:ascii="Arial" w:hAnsi="Arial" w:cs="Arial"/>
          <w:sz w:val="22"/>
          <w:szCs w:val="22"/>
          <w:lang w:val="en-US"/>
        </w:rPr>
        <w:t xml:space="preserve"> </w:t>
      </w:r>
      <w:r w:rsidRPr="005D0BA8">
        <w:rPr>
          <w:rFonts w:ascii="Arial" w:hAnsi="Arial" w:cs="Arial"/>
          <w:sz w:val="22"/>
          <w:szCs w:val="22"/>
          <w:lang w:val="en-US"/>
        </w:rPr>
        <w:t>Immun Inflamm Dis</w:t>
      </w:r>
      <w:r w:rsidR="005D0BA8">
        <w:rPr>
          <w:rFonts w:ascii="Arial" w:hAnsi="Arial" w:cs="Arial"/>
          <w:sz w:val="22"/>
          <w:szCs w:val="22"/>
          <w:lang w:val="en-US"/>
        </w:rPr>
        <w:t xml:space="preserve"> </w:t>
      </w:r>
      <w:r w:rsidRPr="005D0BA8">
        <w:rPr>
          <w:rFonts w:ascii="Arial" w:hAnsi="Arial" w:cs="Arial"/>
          <w:sz w:val="22"/>
          <w:szCs w:val="22"/>
          <w:lang w:val="en-US"/>
        </w:rPr>
        <w:t>9:1252</w:t>
      </w:r>
      <w:r w:rsidR="00DD6B87">
        <w:rPr>
          <w:rFonts w:ascii="Arial" w:hAnsi="Arial" w:cs="Arial"/>
          <w:sz w:val="22"/>
          <w:szCs w:val="22"/>
          <w:lang w:val="en-US"/>
        </w:rPr>
        <w:t>-1271</w:t>
      </w:r>
      <w:r w:rsidR="005D0BA8">
        <w:rPr>
          <w:rFonts w:ascii="Arial" w:hAnsi="Arial" w:cs="Arial"/>
          <w:sz w:val="22"/>
          <w:szCs w:val="22"/>
          <w:lang w:val="en-US"/>
        </w:rPr>
        <w:t>, 2021</w:t>
      </w:r>
    </w:p>
    <w:p w14:paraId="24435AEB" w14:textId="77777777" w:rsidR="00D027C5" w:rsidRPr="005D0BA8"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Speer C, Göth D, Benning L, Buylaert M, Schaier M, Grenz J, Nusshag C, Kälble F, Kreysing M, Reichel P, Töllner M, Hidmark A, Ponath G, Schnitzler P, Zeier M, </w:t>
      </w:r>
      <w:r w:rsidRPr="00A866EC">
        <w:rPr>
          <w:rFonts w:ascii="Arial" w:hAnsi="Arial" w:cs="Arial"/>
          <w:b/>
          <w:sz w:val="22"/>
          <w:szCs w:val="22"/>
          <w:lang w:val="en-US"/>
        </w:rPr>
        <w:t>Süsal C</w:t>
      </w:r>
      <w:r w:rsidRPr="005D0BA8">
        <w:rPr>
          <w:rFonts w:ascii="Arial" w:hAnsi="Arial" w:cs="Arial"/>
          <w:sz w:val="22"/>
          <w:szCs w:val="22"/>
          <w:lang w:val="en-US"/>
        </w:rPr>
        <w:t>, Morath C, Klein K.</w:t>
      </w:r>
      <w:r w:rsidR="005D0BA8" w:rsidRPr="005D0BA8">
        <w:rPr>
          <w:rFonts w:ascii="Arial" w:hAnsi="Arial" w:cs="Arial"/>
          <w:sz w:val="22"/>
          <w:szCs w:val="22"/>
          <w:lang w:val="en-US"/>
        </w:rPr>
        <w:t xml:space="preserve"> Early Humoral Responses of Hemodialysis Patients after COVID-19 Vaccination with BNT162b2.</w:t>
      </w:r>
      <w:r w:rsidRPr="005D0BA8">
        <w:rPr>
          <w:rFonts w:ascii="Arial" w:hAnsi="Arial" w:cs="Arial"/>
          <w:sz w:val="22"/>
          <w:szCs w:val="22"/>
          <w:lang w:val="en-US"/>
        </w:rPr>
        <w:t xml:space="preserve"> </w:t>
      </w:r>
      <w:r w:rsidR="005D0BA8" w:rsidRPr="005D0BA8">
        <w:rPr>
          <w:rFonts w:ascii="Arial" w:hAnsi="Arial" w:cs="Arial"/>
          <w:sz w:val="22"/>
          <w:szCs w:val="22"/>
        </w:rPr>
        <w:t>Clin J Am Soc Nephrol</w:t>
      </w:r>
      <w:r w:rsidR="00611191">
        <w:rPr>
          <w:rFonts w:ascii="Arial" w:hAnsi="Arial" w:cs="Arial"/>
          <w:sz w:val="22"/>
          <w:szCs w:val="22"/>
        </w:rPr>
        <w:t xml:space="preserve"> </w:t>
      </w:r>
      <w:r w:rsidR="005D0BA8" w:rsidRPr="005D0BA8">
        <w:rPr>
          <w:rFonts w:ascii="Arial" w:hAnsi="Arial" w:cs="Arial"/>
          <w:sz w:val="22"/>
          <w:szCs w:val="22"/>
        </w:rPr>
        <w:t>16:1073</w:t>
      </w:r>
      <w:r w:rsidR="00611191">
        <w:rPr>
          <w:rFonts w:ascii="Arial" w:hAnsi="Arial" w:cs="Arial"/>
          <w:sz w:val="22"/>
          <w:szCs w:val="22"/>
        </w:rPr>
        <w:t>-1082</w:t>
      </w:r>
      <w:r w:rsidR="005D0BA8">
        <w:rPr>
          <w:rFonts w:ascii="Arial" w:hAnsi="Arial" w:cs="Arial"/>
          <w:sz w:val="22"/>
          <w:szCs w:val="22"/>
        </w:rPr>
        <w:t>, 2021</w:t>
      </w:r>
      <w:r w:rsidRPr="005D0BA8">
        <w:rPr>
          <w:rFonts w:ascii="Arial" w:hAnsi="Arial" w:cs="Arial"/>
          <w:sz w:val="22"/>
          <w:szCs w:val="22"/>
          <w:lang w:val="en-US"/>
        </w:rPr>
        <w:t xml:space="preserve"> </w:t>
      </w:r>
    </w:p>
    <w:p w14:paraId="4703B978" w14:textId="77777777" w:rsidR="00D027C5" w:rsidRPr="005D0BA8"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Ibrahim EH, Aly MG, Opelz G, Morath C, Zeier M, Süsal C, Sayed DM, Hassan E, Ekpoom N, Daniel V.BMC Nephrol. </w:t>
      </w:r>
      <w:r w:rsidR="005D0BA8" w:rsidRPr="005D0BA8">
        <w:rPr>
          <w:rFonts w:ascii="Arial" w:hAnsi="Arial" w:cs="Arial"/>
          <w:sz w:val="22"/>
          <w:szCs w:val="22"/>
          <w:lang w:val="en-US"/>
        </w:rPr>
        <w:t xml:space="preserve">Higher CD19+CD25+ Bregs are independently associated with better graft function in renal transplant recipients. </w:t>
      </w:r>
      <w:r w:rsidR="005D0BA8" w:rsidRPr="005D0BA8">
        <w:rPr>
          <w:rFonts w:ascii="Arial" w:hAnsi="Arial" w:cs="Arial"/>
          <w:sz w:val="22"/>
          <w:szCs w:val="22"/>
        </w:rPr>
        <w:t>BMC Nephrol</w:t>
      </w:r>
      <w:r w:rsidR="005D0BA8" w:rsidRPr="005D0BA8">
        <w:rPr>
          <w:rFonts w:ascii="Arial" w:hAnsi="Arial" w:cs="Arial"/>
          <w:sz w:val="22"/>
          <w:szCs w:val="22"/>
          <w:lang w:val="en-US"/>
        </w:rPr>
        <w:t xml:space="preserve"> </w:t>
      </w:r>
      <w:r w:rsidRPr="005D0BA8">
        <w:rPr>
          <w:rFonts w:ascii="Arial" w:hAnsi="Arial" w:cs="Arial"/>
          <w:sz w:val="22"/>
          <w:szCs w:val="22"/>
          <w:lang w:val="en-US"/>
        </w:rPr>
        <w:t>22:180</w:t>
      </w:r>
      <w:r w:rsidR="005D0BA8">
        <w:rPr>
          <w:rFonts w:ascii="Arial" w:hAnsi="Arial" w:cs="Arial"/>
          <w:sz w:val="22"/>
          <w:szCs w:val="22"/>
          <w:lang w:val="en-US"/>
        </w:rPr>
        <w:t xml:space="preserve">, 2021 </w:t>
      </w:r>
    </w:p>
    <w:p w14:paraId="74EF1119" w14:textId="77777777" w:rsidR="00D027C5" w:rsidRPr="00D027C5" w:rsidRDefault="00D027C5" w:rsidP="005D0BA8">
      <w:pPr>
        <w:numPr>
          <w:ilvl w:val="0"/>
          <w:numId w:val="1"/>
        </w:numPr>
        <w:shd w:val="clear" w:color="auto" w:fill="FFFFFF"/>
        <w:tabs>
          <w:tab w:val="left" w:pos="0"/>
        </w:tabs>
        <w:spacing w:before="120" w:line="320" w:lineRule="exact"/>
        <w:rPr>
          <w:rFonts w:ascii="Arial" w:hAnsi="Arial" w:cs="Arial"/>
          <w:sz w:val="22"/>
          <w:szCs w:val="22"/>
          <w:lang w:val="en-US"/>
        </w:rPr>
      </w:pPr>
      <w:r w:rsidRPr="005D0BA8">
        <w:rPr>
          <w:rFonts w:ascii="Arial" w:hAnsi="Arial" w:cs="Arial"/>
          <w:sz w:val="22"/>
          <w:szCs w:val="22"/>
          <w:lang w:val="en-US"/>
        </w:rPr>
        <w:t xml:space="preserve">Echterdiek F, Latus J, Döhler B, Schwenger V, </w:t>
      </w:r>
      <w:r w:rsidRPr="00A866EC">
        <w:rPr>
          <w:rFonts w:ascii="Arial" w:hAnsi="Arial" w:cs="Arial"/>
          <w:b/>
          <w:sz w:val="22"/>
          <w:szCs w:val="22"/>
          <w:lang w:val="en-US"/>
        </w:rPr>
        <w:t>Süsal C</w:t>
      </w:r>
      <w:r w:rsidRPr="005D0BA8">
        <w:rPr>
          <w:rFonts w:ascii="Arial" w:hAnsi="Arial" w:cs="Arial"/>
          <w:sz w:val="22"/>
          <w:szCs w:val="22"/>
          <w:lang w:val="en-US"/>
        </w:rPr>
        <w:t>.</w:t>
      </w:r>
      <w:r w:rsidR="005D0BA8" w:rsidRPr="005D0BA8">
        <w:rPr>
          <w:rFonts w:ascii="Arial" w:hAnsi="Arial" w:cs="Arial"/>
          <w:sz w:val="22"/>
          <w:szCs w:val="22"/>
          <w:lang w:val="en-US"/>
        </w:rPr>
        <w:t xml:space="preserve"> Influence of Cold Ischemia Time on the Outcome of Kidney Transplants from Donors Aged 70 Years and Above-A Collaborative Transplant Study Report.</w:t>
      </w:r>
      <w:r w:rsidR="005D0BA8">
        <w:rPr>
          <w:rFonts w:ascii="Arial" w:hAnsi="Arial" w:cs="Arial"/>
          <w:sz w:val="22"/>
          <w:szCs w:val="22"/>
          <w:lang w:val="en-US"/>
        </w:rPr>
        <w:t xml:space="preserve"> </w:t>
      </w:r>
      <w:r w:rsidRPr="005D0BA8">
        <w:rPr>
          <w:rFonts w:ascii="Arial" w:hAnsi="Arial" w:cs="Arial"/>
          <w:sz w:val="22"/>
          <w:szCs w:val="22"/>
          <w:lang w:val="en-US"/>
        </w:rPr>
        <w:t>Transplantation 105:2461</w:t>
      </w:r>
      <w:r w:rsidR="008D6BAB">
        <w:rPr>
          <w:rFonts w:ascii="Arial" w:hAnsi="Arial" w:cs="Arial"/>
          <w:sz w:val="22"/>
          <w:szCs w:val="22"/>
          <w:lang w:val="en-US"/>
        </w:rPr>
        <w:t>-2469</w:t>
      </w:r>
      <w:r w:rsidR="005D0BA8">
        <w:rPr>
          <w:rFonts w:ascii="Arial" w:hAnsi="Arial" w:cs="Arial"/>
          <w:sz w:val="22"/>
          <w:szCs w:val="22"/>
          <w:lang w:val="en-US"/>
        </w:rPr>
        <w:t xml:space="preserve">, 2021 </w:t>
      </w:r>
    </w:p>
    <w:p w14:paraId="126FEA7D" w14:textId="77777777" w:rsidR="00D027C5" w:rsidRPr="00D027C5" w:rsidRDefault="00D027C5" w:rsidP="00A866EC">
      <w:pPr>
        <w:numPr>
          <w:ilvl w:val="0"/>
          <w:numId w:val="1"/>
        </w:numPr>
        <w:shd w:val="clear" w:color="auto" w:fill="FFFFFF"/>
        <w:tabs>
          <w:tab w:val="left" w:pos="0"/>
        </w:tabs>
        <w:spacing w:before="120" w:line="320" w:lineRule="exact"/>
        <w:rPr>
          <w:rFonts w:ascii="Arial" w:hAnsi="Arial" w:cs="Arial"/>
          <w:sz w:val="22"/>
          <w:szCs w:val="22"/>
          <w:lang w:val="en-US"/>
        </w:rPr>
      </w:pPr>
      <w:r w:rsidRPr="00A866EC">
        <w:rPr>
          <w:rFonts w:ascii="Arial" w:hAnsi="Arial" w:cs="Arial"/>
          <w:sz w:val="22"/>
          <w:szCs w:val="22"/>
          <w:lang w:val="en-US"/>
        </w:rPr>
        <w:t xml:space="preserve">Emmerich F, Zschiedrich S, Reichenbach-Braun C, </w:t>
      </w:r>
      <w:r w:rsidRPr="00A866EC">
        <w:rPr>
          <w:rFonts w:ascii="Arial" w:hAnsi="Arial" w:cs="Arial"/>
          <w:b/>
          <w:sz w:val="22"/>
          <w:szCs w:val="22"/>
          <w:lang w:val="en-US"/>
        </w:rPr>
        <w:t>Süsal C</w:t>
      </w:r>
      <w:r w:rsidRPr="00A866EC">
        <w:rPr>
          <w:rFonts w:ascii="Arial" w:hAnsi="Arial" w:cs="Arial"/>
          <w:sz w:val="22"/>
          <w:szCs w:val="22"/>
          <w:lang w:val="en-US"/>
        </w:rPr>
        <w:t>, Minguet S, Pauly MC, Seidl M.</w:t>
      </w:r>
      <w:r w:rsidR="005D0BA8" w:rsidRPr="00A866EC">
        <w:rPr>
          <w:rFonts w:ascii="Arial" w:hAnsi="Arial" w:cs="Arial"/>
          <w:sz w:val="22"/>
          <w:szCs w:val="22"/>
          <w:lang w:val="en-US"/>
        </w:rPr>
        <w:t xml:space="preserve"> Low Pre-Transplant Caveolin-1 Serum Concentrations Are </w:t>
      </w:r>
      <w:r w:rsidR="005D0BA8" w:rsidRPr="00A866EC">
        <w:rPr>
          <w:rFonts w:ascii="Arial" w:hAnsi="Arial" w:cs="Arial"/>
          <w:sz w:val="22"/>
          <w:szCs w:val="22"/>
          <w:lang w:val="en-US"/>
        </w:rPr>
        <w:lastRenderedPageBreak/>
        <w:t>Associated with Acute Cellular Tubulointerstitial Rejection in Kidney Transplantation.</w:t>
      </w:r>
      <w:r w:rsidR="00A866EC" w:rsidRPr="00A866EC">
        <w:rPr>
          <w:rFonts w:ascii="Arial" w:hAnsi="Arial" w:cs="Arial"/>
          <w:sz w:val="22"/>
          <w:szCs w:val="22"/>
          <w:lang w:val="en-US"/>
        </w:rPr>
        <w:t xml:space="preserve"> </w:t>
      </w:r>
      <w:r w:rsidRPr="00A866EC">
        <w:rPr>
          <w:rFonts w:ascii="Arial" w:hAnsi="Arial" w:cs="Arial"/>
          <w:sz w:val="22"/>
          <w:szCs w:val="22"/>
          <w:lang w:val="en-US"/>
        </w:rPr>
        <w:t>Molecules</w:t>
      </w:r>
      <w:r w:rsidR="00A866EC">
        <w:rPr>
          <w:rFonts w:ascii="Arial" w:hAnsi="Arial" w:cs="Arial"/>
          <w:sz w:val="22"/>
          <w:szCs w:val="22"/>
          <w:lang w:val="en-US"/>
        </w:rPr>
        <w:t xml:space="preserve"> </w:t>
      </w:r>
      <w:r w:rsidRPr="00A866EC">
        <w:rPr>
          <w:rFonts w:ascii="Arial" w:hAnsi="Arial" w:cs="Arial"/>
          <w:sz w:val="22"/>
          <w:szCs w:val="22"/>
          <w:lang w:val="en-US"/>
        </w:rPr>
        <w:t>26:2648</w:t>
      </w:r>
      <w:r w:rsidR="00A866EC">
        <w:rPr>
          <w:rFonts w:ascii="Arial" w:hAnsi="Arial" w:cs="Arial"/>
          <w:sz w:val="22"/>
          <w:szCs w:val="22"/>
          <w:lang w:val="en-US"/>
        </w:rPr>
        <w:t>,</w:t>
      </w:r>
      <w:r w:rsidR="00A866EC" w:rsidRPr="00A866EC">
        <w:rPr>
          <w:rFonts w:ascii="Arial" w:hAnsi="Arial" w:cs="Arial"/>
          <w:sz w:val="22"/>
          <w:szCs w:val="22"/>
          <w:lang w:val="en-US"/>
        </w:rPr>
        <w:t xml:space="preserve"> 2021</w:t>
      </w:r>
    </w:p>
    <w:p w14:paraId="6A83815E" w14:textId="77777777" w:rsidR="00D027C5" w:rsidRPr="00A866EC" w:rsidRDefault="00D027C5" w:rsidP="00586528">
      <w:pPr>
        <w:numPr>
          <w:ilvl w:val="0"/>
          <w:numId w:val="1"/>
        </w:numPr>
        <w:shd w:val="clear" w:color="auto" w:fill="FFFFFF"/>
        <w:tabs>
          <w:tab w:val="left" w:pos="0"/>
        </w:tabs>
        <w:spacing w:before="120" w:line="320" w:lineRule="exact"/>
        <w:rPr>
          <w:rFonts w:ascii="Arial" w:hAnsi="Arial" w:cs="Arial"/>
          <w:sz w:val="22"/>
          <w:szCs w:val="22"/>
          <w:lang w:val="en-US"/>
        </w:rPr>
      </w:pPr>
      <w:r w:rsidRPr="00A866EC">
        <w:rPr>
          <w:rFonts w:ascii="Arial" w:hAnsi="Arial" w:cs="Arial"/>
          <w:sz w:val="22"/>
          <w:szCs w:val="22"/>
          <w:lang w:val="en-US"/>
        </w:rPr>
        <w:t xml:space="preserve">Fichtner A, </w:t>
      </w:r>
      <w:r w:rsidRPr="00A866EC">
        <w:rPr>
          <w:rFonts w:ascii="Arial" w:hAnsi="Arial" w:cs="Arial"/>
          <w:b/>
          <w:sz w:val="22"/>
          <w:szCs w:val="22"/>
          <w:lang w:val="en-US"/>
        </w:rPr>
        <w:t>Süsal C</w:t>
      </w:r>
      <w:r w:rsidRPr="00A866EC">
        <w:rPr>
          <w:rFonts w:ascii="Arial" w:hAnsi="Arial" w:cs="Arial"/>
          <w:sz w:val="22"/>
          <w:szCs w:val="22"/>
          <w:lang w:val="en-US"/>
        </w:rPr>
        <w:t>, Höcker B, Rieger S, Waldherr R, Westhoff JH, Sander A, Dragun D, Tönshoff B.</w:t>
      </w:r>
      <w:r w:rsidR="00A866EC" w:rsidRPr="00A866EC">
        <w:rPr>
          <w:rFonts w:ascii="Arial" w:hAnsi="Arial" w:cs="Arial"/>
          <w:sz w:val="22"/>
          <w:szCs w:val="22"/>
          <w:lang w:val="en-US"/>
        </w:rPr>
        <w:t xml:space="preserve"> Association of non-HLA antibodies against endothelial targets and donor-specific HLA antibodies with antibody-mediated rejection and graft function in pediatric kidney transplant recipients.</w:t>
      </w:r>
      <w:r w:rsidR="00A866EC">
        <w:rPr>
          <w:rFonts w:ascii="Arial" w:hAnsi="Arial" w:cs="Arial"/>
          <w:sz w:val="22"/>
          <w:szCs w:val="22"/>
          <w:lang w:val="en-US"/>
        </w:rPr>
        <w:t xml:space="preserve"> </w:t>
      </w:r>
      <w:r w:rsidRPr="00A866EC">
        <w:rPr>
          <w:rFonts w:ascii="Arial" w:hAnsi="Arial" w:cs="Arial"/>
          <w:sz w:val="22"/>
          <w:szCs w:val="22"/>
          <w:lang w:val="en-US"/>
        </w:rPr>
        <w:t>Pediatr Nephrol 36:2473</w:t>
      </w:r>
      <w:r w:rsidR="005A3926">
        <w:rPr>
          <w:rFonts w:ascii="Arial" w:hAnsi="Arial" w:cs="Arial"/>
          <w:sz w:val="22"/>
          <w:szCs w:val="22"/>
          <w:lang w:val="en-US"/>
        </w:rPr>
        <w:t>-2484</w:t>
      </w:r>
      <w:r w:rsidR="00A866EC">
        <w:rPr>
          <w:rFonts w:ascii="Arial" w:hAnsi="Arial" w:cs="Arial"/>
          <w:sz w:val="22"/>
          <w:szCs w:val="22"/>
          <w:lang w:val="en-US"/>
        </w:rPr>
        <w:t>, 2021</w:t>
      </w:r>
    </w:p>
    <w:p w14:paraId="5206E9AF" w14:textId="77777777" w:rsidR="00F5412B" w:rsidRPr="00920205" w:rsidRDefault="00D027C5" w:rsidP="007E5146">
      <w:pPr>
        <w:numPr>
          <w:ilvl w:val="0"/>
          <w:numId w:val="1"/>
        </w:numPr>
        <w:shd w:val="clear" w:color="auto" w:fill="FFFFFF"/>
        <w:tabs>
          <w:tab w:val="left" w:pos="0"/>
        </w:tabs>
        <w:spacing w:before="120" w:line="320" w:lineRule="exact"/>
        <w:rPr>
          <w:rFonts w:ascii="Arial" w:hAnsi="Arial" w:cs="Arial"/>
          <w:b/>
          <w:sz w:val="22"/>
          <w:szCs w:val="22"/>
          <w:lang w:val="en-US"/>
        </w:rPr>
      </w:pPr>
      <w:r w:rsidRPr="00362A28">
        <w:rPr>
          <w:rFonts w:ascii="Arial" w:hAnsi="Arial" w:cs="Arial"/>
          <w:sz w:val="22"/>
          <w:szCs w:val="22"/>
          <w:lang w:val="en-US"/>
        </w:rPr>
        <w:t xml:space="preserve">Gold A, Fichtner A, Choukair D, Schmitt CP, </w:t>
      </w:r>
      <w:r w:rsidRPr="00362A28">
        <w:rPr>
          <w:rFonts w:ascii="Arial" w:hAnsi="Arial" w:cs="Arial"/>
          <w:b/>
          <w:sz w:val="22"/>
          <w:szCs w:val="22"/>
          <w:lang w:val="en-US"/>
        </w:rPr>
        <w:t>Süsal C</w:t>
      </w:r>
      <w:r w:rsidRPr="00362A28">
        <w:rPr>
          <w:rFonts w:ascii="Arial" w:hAnsi="Arial" w:cs="Arial"/>
          <w:sz w:val="22"/>
          <w:szCs w:val="22"/>
          <w:lang w:val="en-US"/>
        </w:rPr>
        <w:t>, Dragun D, Tönshoff B.</w:t>
      </w:r>
      <w:r w:rsidR="00A866EC" w:rsidRPr="00362A28">
        <w:rPr>
          <w:rFonts w:ascii="Arial" w:hAnsi="Arial" w:cs="Arial"/>
          <w:sz w:val="22"/>
          <w:szCs w:val="22"/>
          <w:lang w:val="en-US"/>
        </w:rPr>
        <w:t xml:space="preserve"> Kidney re-transplantation in a child across the barrier of persisting angiotensin II type I receptor antibodies. Pediatr Nephrol </w:t>
      </w:r>
      <w:r w:rsidRPr="00362A28">
        <w:rPr>
          <w:rFonts w:ascii="Arial" w:hAnsi="Arial" w:cs="Arial"/>
          <w:sz w:val="22"/>
          <w:szCs w:val="22"/>
          <w:lang w:val="en-US"/>
        </w:rPr>
        <w:t>36:725</w:t>
      </w:r>
      <w:r w:rsidR="00A014E7">
        <w:rPr>
          <w:rFonts w:ascii="Arial" w:hAnsi="Arial" w:cs="Arial"/>
          <w:sz w:val="22"/>
          <w:szCs w:val="22"/>
          <w:lang w:val="en-US"/>
        </w:rPr>
        <w:t>-729</w:t>
      </w:r>
      <w:r w:rsidR="00A866EC" w:rsidRPr="00362A28">
        <w:rPr>
          <w:rFonts w:ascii="Arial" w:hAnsi="Arial" w:cs="Arial"/>
          <w:sz w:val="22"/>
          <w:szCs w:val="22"/>
          <w:lang w:val="en-US"/>
        </w:rPr>
        <w:t>, 2021</w:t>
      </w:r>
    </w:p>
    <w:p w14:paraId="6E3FC60C" w14:textId="77777777" w:rsidR="00DE285C" w:rsidRPr="005D1921" w:rsidRDefault="00DE285C" w:rsidP="007E5146">
      <w:pPr>
        <w:numPr>
          <w:ilvl w:val="0"/>
          <w:numId w:val="1"/>
        </w:numPr>
        <w:shd w:val="clear" w:color="auto" w:fill="FFFFFF"/>
        <w:tabs>
          <w:tab w:val="left" w:pos="0"/>
        </w:tabs>
        <w:spacing w:before="120" w:line="320" w:lineRule="exact"/>
        <w:rPr>
          <w:rFonts w:ascii="Arial" w:hAnsi="Arial" w:cs="Arial"/>
          <w:b/>
          <w:sz w:val="22"/>
          <w:szCs w:val="22"/>
          <w:lang w:val="en-US"/>
        </w:rPr>
      </w:pPr>
      <w:r w:rsidRPr="005D1921">
        <w:rPr>
          <w:rFonts w:ascii="Arial" w:hAnsi="Arial" w:cs="Arial"/>
          <w:sz w:val="22"/>
          <w:szCs w:val="22"/>
          <w:lang w:val="en-US"/>
        </w:rPr>
        <w:t xml:space="preserve">Benning L, Morath C, Bartenschlager M, Nusshag C, Kälble F, Buylaert M, Schaier M, Beimler J, Klein K, Grenz J, Reichel P, Hidmark A, Ponath G, Töllner M, Reineke M, Rieger S, Tönshoff B, Schnitzler P, Zeier M, </w:t>
      </w:r>
      <w:r w:rsidRPr="005D1921">
        <w:rPr>
          <w:rFonts w:ascii="Arial" w:hAnsi="Arial" w:cs="Arial"/>
          <w:b/>
          <w:bCs/>
          <w:sz w:val="22"/>
          <w:szCs w:val="22"/>
          <w:lang w:val="en-US"/>
        </w:rPr>
        <w:t>Süsal C</w:t>
      </w:r>
      <w:r w:rsidRPr="005D1921">
        <w:rPr>
          <w:rFonts w:ascii="Arial" w:hAnsi="Arial" w:cs="Arial"/>
          <w:sz w:val="22"/>
          <w:szCs w:val="22"/>
          <w:lang w:val="en-US"/>
        </w:rPr>
        <w:t xml:space="preserve">, Bartenschlager R, Speer C. Neutralization of SARS-CoV-2 Variants of Concern in Kidney Transplant Recipients after Standard COVID-19 Vaccination. </w:t>
      </w:r>
      <w:r w:rsidR="00294A29" w:rsidRPr="005D1921">
        <w:rPr>
          <w:rFonts w:ascii="Arial" w:hAnsi="Arial" w:cs="Arial"/>
          <w:sz w:val="22"/>
          <w:szCs w:val="22"/>
          <w:lang w:val="en-US"/>
        </w:rPr>
        <w:t>Clin J Am Soc Nephrol 17:98-106, 2022</w:t>
      </w:r>
    </w:p>
    <w:p w14:paraId="1F9DB4A5" w14:textId="77777777" w:rsidR="00C373F9" w:rsidRPr="005D1921" w:rsidRDefault="00C373F9" w:rsidP="00CA44DB">
      <w:pPr>
        <w:numPr>
          <w:ilvl w:val="0"/>
          <w:numId w:val="1"/>
        </w:numPr>
        <w:shd w:val="clear" w:color="auto" w:fill="FFFFFF"/>
        <w:tabs>
          <w:tab w:val="left" w:pos="0"/>
        </w:tabs>
        <w:spacing w:before="120" w:line="320" w:lineRule="exact"/>
        <w:rPr>
          <w:rFonts w:ascii="Arial" w:hAnsi="Arial" w:cs="Arial"/>
          <w:sz w:val="22"/>
          <w:szCs w:val="22"/>
          <w:lang w:val="en-US"/>
        </w:rPr>
      </w:pPr>
      <w:r w:rsidRPr="005D1921">
        <w:rPr>
          <w:rFonts w:ascii="Arial" w:hAnsi="Arial" w:cs="Arial"/>
          <w:sz w:val="22"/>
          <w:szCs w:val="22"/>
          <w:lang w:val="en-US"/>
        </w:rPr>
        <w:t xml:space="preserve">Engels G, Döhler B, Tönshoff B, Oh J, Kruchen A, Müller I, </w:t>
      </w:r>
      <w:r w:rsidRPr="005D1921">
        <w:rPr>
          <w:rFonts w:ascii="Arial" w:hAnsi="Arial" w:cs="Arial"/>
          <w:b/>
          <w:sz w:val="22"/>
          <w:szCs w:val="22"/>
          <w:lang w:val="en-US"/>
        </w:rPr>
        <w:t>Süsal C</w:t>
      </w:r>
      <w:r w:rsidRPr="005D1921">
        <w:rPr>
          <w:rFonts w:ascii="Arial" w:hAnsi="Arial" w:cs="Arial"/>
          <w:sz w:val="22"/>
          <w:szCs w:val="22"/>
          <w:lang w:val="en-US"/>
        </w:rPr>
        <w:t xml:space="preserve">. Maternal versus paternal living kidney transplant donation is associated with lower rejection in young pediatric recipients: A Collaborative Transplant Study report. Pediatr Transplant </w:t>
      </w:r>
      <w:r w:rsidR="00294A29" w:rsidRPr="005D1921">
        <w:rPr>
          <w:rFonts w:ascii="Arial" w:hAnsi="Arial" w:cs="Arial"/>
          <w:sz w:val="22"/>
          <w:szCs w:val="22"/>
          <w:lang w:val="en-US"/>
        </w:rPr>
        <w:t>26: e14154, 2022</w:t>
      </w:r>
    </w:p>
    <w:p w14:paraId="0027E235" w14:textId="77777777" w:rsidR="00DE285C" w:rsidRPr="005D1921" w:rsidRDefault="00DE285C" w:rsidP="00DE285C">
      <w:pPr>
        <w:numPr>
          <w:ilvl w:val="0"/>
          <w:numId w:val="1"/>
        </w:numPr>
        <w:shd w:val="clear" w:color="auto" w:fill="FFFFFF"/>
        <w:tabs>
          <w:tab w:val="left" w:pos="0"/>
        </w:tabs>
        <w:spacing w:before="120" w:line="320" w:lineRule="exact"/>
        <w:rPr>
          <w:rFonts w:ascii="Arial" w:hAnsi="Arial" w:cs="Arial"/>
          <w:sz w:val="22"/>
          <w:szCs w:val="22"/>
        </w:rPr>
      </w:pPr>
      <w:r w:rsidRPr="005D1921">
        <w:rPr>
          <w:rFonts w:ascii="Arial" w:hAnsi="Arial" w:cs="Arial"/>
          <w:sz w:val="22"/>
          <w:szCs w:val="22"/>
        </w:rPr>
        <w:t xml:space="preserve">Lozanovski VJ, Unterrainer C, Döhler B, </w:t>
      </w:r>
      <w:r w:rsidRPr="005D1921">
        <w:rPr>
          <w:rFonts w:ascii="Arial" w:hAnsi="Arial" w:cs="Arial"/>
          <w:b/>
          <w:sz w:val="22"/>
          <w:szCs w:val="22"/>
        </w:rPr>
        <w:t>Süsal C</w:t>
      </w:r>
      <w:r w:rsidRPr="005D1921">
        <w:rPr>
          <w:rFonts w:ascii="Arial" w:hAnsi="Arial" w:cs="Arial"/>
          <w:sz w:val="22"/>
          <w:szCs w:val="22"/>
        </w:rPr>
        <w:t xml:space="preserve">, Mehrabi A. Outcome of Extended Right Lobe Liver Transplants. Liver Transpl </w:t>
      </w:r>
      <w:r w:rsidR="005D1921" w:rsidRPr="005D1921">
        <w:rPr>
          <w:rFonts w:ascii="Arial" w:hAnsi="Arial" w:cs="Arial"/>
          <w:sz w:val="22"/>
          <w:szCs w:val="22"/>
        </w:rPr>
        <w:t xml:space="preserve">2021 </w:t>
      </w:r>
      <w:r w:rsidRPr="005D1921">
        <w:rPr>
          <w:rFonts w:ascii="Arial" w:hAnsi="Arial" w:cs="Arial"/>
          <w:sz w:val="22"/>
          <w:szCs w:val="22"/>
        </w:rPr>
        <w:t>(online ahead of print)</w:t>
      </w:r>
    </w:p>
    <w:p w14:paraId="151DAA94" w14:textId="77777777" w:rsidR="00920205" w:rsidRPr="005D1921" w:rsidRDefault="00920205" w:rsidP="007938D9">
      <w:pPr>
        <w:numPr>
          <w:ilvl w:val="0"/>
          <w:numId w:val="1"/>
        </w:numPr>
        <w:shd w:val="clear" w:color="auto" w:fill="FFFFFF"/>
        <w:tabs>
          <w:tab w:val="left" w:pos="0"/>
        </w:tabs>
        <w:spacing w:before="120" w:line="320" w:lineRule="exact"/>
        <w:rPr>
          <w:rFonts w:ascii="Arial" w:hAnsi="Arial" w:cs="Arial"/>
          <w:sz w:val="22"/>
          <w:szCs w:val="22"/>
        </w:rPr>
      </w:pPr>
      <w:r w:rsidRPr="005D1921">
        <w:rPr>
          <w:rFonts w:ascii="Arial" w:hAnsi="Arial" w:cs="Arial"/>
          <w:bCs/>
          <w:sz w:val="22"/>
          <w:szCs w:val="22"/>
          <w:lang w:val="en-US"/>
        </w:rPr>
        <w:t>Benning L, Morath C, Bartenschlager M, Reineke M, Töllner M, Nusshag C, Kälble F, Reichel P, Schaier M, Schnitzler P, Zeier M, Süsal C, Bartenschlager R, Speer C. Natural SARS-CoV-2 infection results in higher neutralization response against variants of concern compared to two-dose BNT162b2 vaccination in kidney transplant recipients. Kidney Int</w:t>
      </w:r>
      <w:r w:rsidR="005D1921" w:rsidRPr="005D1921">
        <w:rPr>
          <w:rFonts w:ascii="Arial" w:hAnsi="Arial" w:cs="Arial"/>
          <w:bCs/>
          <w:sz w:val="22"/>
          <w:szCs w:val="22"/>
          <w:lang w:val="en-US"/>
        </w:rPr>
        <w:t xml:space="preserve"> 2021</w:t>
      </w:r>
      <w:r w:rsidRPr="005D1921">
        <w:rPr>
          <w:rFonts w:ascii="Arial" w:hAnsi="Arial" w:cs="Arial"/>
          <w:bCs/>
          <w:sz w:val="22"/>
          <w:szCs w:val="22"/>
          <w:lang w:val="en-US"/>
        </w:rPr>
        <w:t xml:space="preserve"> (online ahead of print)</w:t>
      </w:r>
    </w:p>
    <w:p w14:paraId="2E25A066" w14:textId="77777777" w:rsidR="005D1921" w:rsidRPr="005D1921" w:rsidRDefault="002F04AB" w:rsidP="008A369A">
      <w:pPr>
        <w:numPr>
          <w:ilvl w:val="0"/>
          <w:numId w:val="1"/>
        </w:numPr>
        <w:shd w:val="clear" w:color="auto" w:fill="FFFFFF"/>
        <w:tabs>
          <w:tab w:val="left" w:pos="0"/>
        </w:tabs>
        <w:spacing w:before="120" w:line="320" w:lineRule="exact"/>
        <w:rPr>
          <w:rFonts w:ascii="Arial" w:hAnsi="Arial" w:cs="Arial"/>
          <w:b/>
          <w:sz w:val="22"/>
          <w:szCs w:val="22"/>
          <w:lang w:val="en-US"/>
        </w:rPr>
      </w:pPr>
      <w:r w:rsidRPr="005D1921">
        <w:rPr>
          <w:rFonts w:ascii="Arial" w:hAnsi="Arial" w:cs="Arial"/>
          <w:bCs/>
          <w:sz w:val="22"/>
          <w:szCs w:val="22"/>
          <w:lang w:val="en-US"/>
        </w:rPr>
        <w:t xml:space="preserve">Kälble F, </w:t>
      </w:r>
      <w:r w:rsidRPr="005D1921">
        <w:rPr>
          <w:rFonts w:ascii="Arial" w:hAnsi="Arial" w:cs="Arial"/>
          <w:b/>
          <w:bCs/>
          <w:sz w:val="22"/>
          <w:szCs w:val="22"/>
          <w:lang w:val="en-US"/>
        </w:rPr>
        <w:t>Süsal C</w:t>
      </w:r>
      <w:r w:rsidRPr="005D1921">
        <w:rPr>
          <w:rFonts w:ascii="Arial" w:hAnsi="Arial" w:cs="Arial"/>
          <w:bCs/>
          <w:sz w:val="22"/>
          <w:szCs w:val="22"/>
          <w:lang w:val="en-US"/>
        </w:rPr>
        <w:t>, Pego da Silva L, Speer C, Benning L, Nusshag C, Pham L, Tran HT, Schaier M, Sommerer C, Beimler J, Mehrabi A, Zeier M, Morath C</w:t>
      </w:r>
      <w:r w:rsidR="00F5412B" w:rsidRPr="005D1921">
        <w:rPr>
          <w:rFonts w:ascii="Arial" w:hAnsi="Arial" w:cs="Arial"/>
          <w:bCs/>
          <w:sz w:val="22"/>
          <w:szCs w:val="22"/>
          <w:lang w:val="en-US"/>
        </w:rPr>
        <w:t>. Living donor kidney transplantation in patients with donor-specific HLA antibodies after desensitization with immunoadsorption</w:t>
      </w:r>
      <w:r w:rsidR="0093386A" w:rsidRPr="005D1921">
        <w:rPr>
          <w:rFonts w:ascii="Arial" w:hAnsi="Arial" w:cs="Arial"/>
          <w:bCs/>
          <w:sz w:val="22"/>
          <w:szCs w:val="22"/>
          <w:lang w:val="en-US"/>
        </w:rPr>
        <w:t xml:space="preserve">. Front Med </w:t>
      </w:r>
      <w:r w:rsidR="005D1921" w:rsidRPr="005D1921">
        <w:rPr>
          <w:rFonts w:ascii="Arial" w:hAnsi="Arial" w:cs="Arial"/>
          <w:bCs/>
          <w:sz w:val="22"/>
          <w:szCs w:val="22"/>
        </w:rPr>
        <w:t>8:781491</w:t>
      </w:r>
      <w:r w:rsidR="00D357D9">
        <w:rPr>
          <w:rFonts w:ascii="Arial" w:hAnsi="Arial" w:cs="Arial"/>
          <w:bCs/>
          <w:sz w:val="22"/>
          <w:szCs w:val="22"/>
        </w:rPr>
        <w:t>, 2021</w:t>
      </w:r>
      <w:r w:rsidR="005D1921" w:rsidRPr="005D1921">
        <w:rPr>
          <w:rFonts w:ascii="Arial" w:hAnsi="Arial" w:cs="Arial"/>
          <w:bCs/>
          <w:sz w:val="22"/>
          <w:szCs w:val="22"/>
        </w:rPr>
        <w:t xml:space="preserve"> </w:t>
      </w:r>
    </w:p>
    <w:p w14:paraId="74872679" w14:textId="77777777" w:rsidR="00D357D9" w:rsidRPr="00D357D9" w:rsidRDefault="0093386A" w:rsidP="00426740">
      <w:pPr>
        <w:numPr>
          <w:ilvl w:val="0"/>
          <w:numId w:val="1"/>
        </w:numPr>
        <w:shd w:val="clear" w:color="auto" w:fill="FFFFFF"/>
        <w:tabs>
          <w:tab w:val="left" w:pos="0"/>
        </w:tabs>
        <w:spacing w:before="120" w:line="320" w:lineRule="exact"/>
        <w:rPr>
          <w:rFonts w:ascii="Arial" w:hAnsi="Arial" w:cs="Arial"/>
          <w:sz w:val="22"/>
          <w:szCs w:val="22"/>
          <w:lang w:val="en-US"/>
        </w:rPr>
      </w:pPr>
      <w:r w:rsidRPr="00D357D9">
        <w:rPr>
          <w:rFonts w:ascii="Arial" w:hAnsi="Arial" w:cs="Arial"/>
          <w:sz w:val="22"/>
          <w:szCs w:val="22"/>
        </w:rPr>
        <w:t xml:space="preserve">Houben P, Schimmack S, Unterrainer C, Döhler B, Mehrabi A, </w:t>
      </w:r>
      <w:r w:rsidRPr="00D357D9">
        <w:rPr>
          <w:rFonts w:ascii="Arial" w:hAnsi="Arial" w:cs="Arial"/>
          <w:b/>
          <w:sz w:val="22"/>
          <w:szCs w:val="22"/>
        </w:rPr>
        <w:t>Süsal C</w:t>
      </w:r>
      <w:r w:rsidRPr="00D357D9">
        <w:rPr>
          <w:rFonts w:ascii="Arial" w:hAnsi="Arial" w:cs="Arial"/>
          <w:sz w:val="22"/>
          <w:szCs w:val="22"/>
        </w:rPr>
        <w:t xml:space="preserve">. Rare Malignant Indications for Liver Transplantation: A Collaborative Transplant Study Report. Front Surg </w:t>
      </w:r>
      <w:r w:rsidR="00D357D9" w:rsidRPr="00D357D9">
        <w:rPr>
          <w:rFonts w:ascii="Arial" w:hAnsi="Arial" w:cs="Arial"/>
          <w:sz w:val="22"/>
          <w:szCs w:val="22"/>
        </w:rPr>
        <w:t>8:678392</w:t>
      </w:r>
      <w:r w:rsidR="00D357D9">
        <w:rPr>
          <w:rFonts w:ascii="Arial" w:hAnsi="Arial" w:cs="Arial"/>
          <w:sz w:val="22"/>
          <w:szCs w:val="22"/>
        </w:rPr>
        <w:t>, 2021</w:t>
      </w:r>
      <w:r w:rsidR="00D357D9" w:rsidRPr="00D357D9">
        <w:rPr>
          <w:rFonts w:ascii="Arial" w:hAnsi="Arial" w:cs="Arial"/>
          <w:sz w:val="22"/>
          <w:szCs w:val="22"/>
        </w:rPr>
        <w:t xml:space="preserve"> </w:t>
      </w:r>
    </w:p>
    <w:p w14:paraId="7FDBF5ED" w14:textId="77777777" w:rsidR="00766E3A" w:rsidRPr="00D357D9" w:rsidRDefault="00362A28" w:rsidP="00426740">
      <w:pPr>
        <w:numPr>
          <w:ilvl w:val="0"/>
          <w:numId w:val="1"/>
        </w:numPr>
        <w:shd w:val="clear" w:color="auto" w:fill="FFFFFF"/>
        <w:tabs>
          <w:tab w:val="left" w:pos="0"/>
        </w:tabs>
        <w:spacing w:before="120" w:line="320" w:lineRule="exact"/>
        <w:rPr>
          <w:rFonts w:ascii="Arial" w:hAnsi="Arial" w:cs="Arial"/>
          <w:sz w:val="22"/>
          <w:szCs w:val="22"/>
          <w:lang w:val="en-US"/>
        </w:rPr>
      </w:pPr>
      <w:r w:rsidRPr="00D357D9">
        <w:rPr>
          <w:rFonts w:ascii="Arial" w:hAnsi="Arial" w:cs="Arial"/>
          <w:sz w:val="22"/>
          <w:szCs w:val="22"/>
        </w:rPr>
        <w:t xml:space="preserve">Echterdiek F, Döhler B, Latus J, Schwenger V, </w:t>
      </w:r>
      <w:r w:rsidRPr="00D357D9">
        <w:rPr>
          <w:rFonts w:ascii="Arial" w:hAnsi="Arial" w:cs="Arial"/>
          <w:b/>
          <w:sz w:val="22"/>
          <w:szCs w:val="22"/>
        </w:rPr>
        <w:t>Süsal C</w:t>
      </w:r>
      <w:r w:rsidRPr="00D357D9">
        <w:rPr>
          <w:rFonts w:ascii="Arial" w:hAnsi="Arial" w:cs="Arial"/>
          <w:sz w:val="22"/>
          <w:szCs w:val="22"/>
        </w:rPr>
        <w:t xml:space="preserve">. </w:t>
      </w:r>
      <w:bookmarkStart w:id="2" w:name="_Hlk46593290"/>
      <w:r w:rsidRPr="00D357D9">
        <w:rPr>
          <w:rFonts w:ascii="Arial" w:hAnsi="Arial" w:cs="Arial"/>
          <w:sz w:val="22"/>
          <w:szCs w:val="22"/>
        </w:rPr>
        <w:t xml:space="preserve">Influence of calcineurin inhibitor choice on outcome in kidney transplant recipients aged ≥60 years – A Collaborative Transplant Study report. Transplantation (in </w:t>
      </w:r>
      <w:r w:rsidR="00D357D9">
        <w:rPr>
          <w:rFonts w:ascii="Arial" w:hAnsi="Arial" w:cs="Arial"/>
          <w:sz w:val="22"/>
          <w:szCs w:val="22"/>
        </w:rPr>
        <w:t>press</w:t>
      </w:r>
      <w:r w:rsidRPr="00D357D9">
        <w:rPr>
          <w:rFonts w:ascii="Arial" w:hAnsi="Arial" w:cs="Arial"/>
          <w:sz w:val="22"/>
          <w:szCs w:val="22"/>
        </w:rPr>
        <w:t>)</w:t>
      </w:r>
      <w:bookmarkEnd w:id="2"/>
    </w:p>
    <w:p w14:paraId="34767C9C" w14:textId="77777777" w:rsidR="005C0F70" w:rsidRPr="00DE285C" w:rsidRDefault="005C0F70" w:rsidP="005C0F70">
      <w:pPr>
        <w:shd w:val="clear" w:color="auto" w:fill="FFFFFF"/>
        <w:tabs>
          <w:tab w:val="left" w:pos="0"/>
        </w:tabs>
        <w:spacing w:before="120" w:line="320" w:lineRule="exact"/>
        <w:ind w:left="1021"/>
        <w:rPr>
          <w:rFonts w:ascii="Arial" w:hAnsi="Arial" w:cs="Arial"/>
          <w:sz w:val="22"/>
          <w:szCs w:val="22"/>
          <w:lang w:val="en-US"/>
        </w:rPr>
      </w:pPr>
    </w:p>
    <w:p w14:paraId="40973BB9" w14:textId="77777777" w:rsidR="00022A18" w:rsidRPr="00022A18" w:rsidRDefault="00DE285C" w:rsidP="003B092F">
      <w:pPr>
        <w:numPr>
          <w:ilvl w:val="0"/>
          <w:numId w:val="1"/>
        </w:numPr>
        <w:shd w:val="clear" w:color="auto" w:fill="FFFFFF"/>
        <w:tabs>
          <w:tab w:val="left" w:pos="0"/>
        </w:tabs>
        <w:spacing w:before="120" w:line="320" w:lineRule="exact"/>
        <w:rPr>
          <w:rFonts w:ascii="Arial" w:hAnsi="Arial" w:cs="Arial"/>
          <w:sz w:val="22"/>
          <w:szCs w:val="22"/>
          <w:lang w:val="en-US"/>
        </w:rPr>
      </w:pPr>
      <w:r w:rsidRPr="00022A18">
        <w:rPr>
          <w:rFonts w:ascii="Arial" w:hAnsi="Arial" w:cs="Arial"/>
          <w:sz w:val="22"/>
          <w:szCs w:val="22"/>
        </w:rPr>
        <w:lastRenderedPageBreak/>
        <w:t xml:space="preserve">Vinson AJ, Zhang X, Dahhou M, </w:t>
      </w:r>
      <w:r w:rsidRPr="00022A18">
        <w:rPr>
          <w:rFonts w:ascii="Arial" w:hAnsi="Arial" w:cs="Arial"/>
          <w:b/>
          <w:sz w:val="22"/>
          <w:szCs w:val="22"/>
        </w:rPr>
        <w:t>Süsal C</w:t>
      </w:r>
      <w:r w:rsidRPr="00022A18">
        <w:rPr>
          <w:rFonts w:ascii="Arial" w:hAnsi="Arial" w:cs="Arial"/>
          <w:sz w:val="22"/>
          <w:szCs w:val="22"/>
        </w:rPr>
        <w:t>, Döhler B, Sapir-Pichhadze R, Cardinal H, Melk A, Wong G, Francis A, Pilmore H, Foster BJ. Age-Dependent Sex Differences in Graft Loss After Kidney Transplantation. Transplantation 2021 (online ahead of print)</w:t>
      </w:r>
    </w:p>
    <w:p w14:paraId="04DAF3E3" w14:textId="77777777" w:rsidR="00D357D9" w:rsidRPr="00811649" w:rsidRDefault="00022A18" w:rsidP="007F19B6">
      <w:pPr>
        <w:numPr>
          <w:ilvl w:val="0"/>
          <w:numId w:val="1"/>
        </w:numPr>
        <w:shd w:val="clear" w:color="auto" w:fill="FFFFFF"/>
        <w:tabs>
          <w:tab w:val="left" w:pos="0"/>
        </w:tabs>
        <w:spacing w:before="120" w:line="320" w:lineRule="exact"/>
        <w:rPr>
          <w:rFonts w:ascii="Arial" w:hAnsi="Arial" w:cs="Arial"/>
          <w:sz w:val="22"/>
          <w:szCs w:val="22"/>
          <w:lang w:val="en-US"/>
        </w:rPr>
      </w:pPr>
      <w:r w:rsidRPr="00022A18">
        <w:rPr>
          <w:rFonts w:ascii="Arial" w:hAnsi="Arial" w:cs="Arial"/>
          <w:sz w:val="22"/>
          <w:szCs w:val="22"/>
          <w:lang w:val="en"/>
        </w:rPr>
        <w:t xml:space="preserve">Vietzen H, Döhler B, Tran TH, </w:t>
      </w:r>
      <w:r w:rsidRPr="00022A18">
        <w:rPr>
          <w:rFonts w:ascii="Arial" w:hAnsi="Arial" w:cs="Arial"/>
          <w:b/>
          <w:sz w:val="22"/>
          <w:szCs w:val="22"/>
          <w:lang w:val="en"/>
        </w:rPr>
        <w:t>Süsal C</w:t>
      </w:r>
      <w:r w:rsidRPr="00022A18">
        <w:rPr>
          <w:rFonts w:ascii="Arial" w:hAnsi="Arial" w:cs="Arial"/>
          <w:sz w:val="22"/>
          <w:szCs w:val="22"/>
          <w:lang w:val="en"/>
        </w:rPr>
        <w:t>, Halloran PH, Eskandary F, Herz C, Mayer KA, Kozakowski N, Wahrmann M, Ely S, Haindl S, Puchhammer-Stöckl E, Böhmig GA. Deletion of the natural killer cell receptor NKG2C encoding KLR2C gene and kidney transplant outcome. Front Immunol (in revision)</w:t>
      </w:r>
    </w:p>
    <w:p w14:paraId="5ECB1079" w14:textId="77777777" w:rsidR="00811649" w:rsidRPr="00811649" w:rsidRDefault="00811649" w:rsidP="007D3E30">
      <w:pPr>
        <w:numPr>
          <w:ilvl w:val="0"/>
          <w:numId w:val="1"/>
        </w:numPr>
        <w:shd w:val="clear" w:color="auto" w:fill="FFFFFF"/>
        <w:tabs>
          <w:tab w:val="left" w:pos="0"/>
        </w:tabs>
        <w:spacing w:before="120" w:line="320" w:lineRule="exact"/>
        <w:rPr>
          <w:rFonts w:ascii="Arial" w:hAnsi="Arial" w:cs="Arial"/>
          <w:sz w:val="22"/>
          <w:szCs w:val="22"/>
          <w:lang w:val="en-US"/>
        </w:rPr>
      </w:pPr>
      <w:r w:rsidRPr="00811649">
        <w:rPr>
          <w:rFonts w:ascii="Arial" w:hAnsi="Arial" w:cs="Arial"/>
          <w:sz w:val="22"/>
          <w:szCs w:val="22"/>
          <w:lang w:val="en-US"/>
        </w:rPr>
        <w:t xml:space="preserve">Morath C, Hayek SS, Döhler B, Nusshag C, Sommerer C, Zeier M, Reiser J, </w:t>
      </w:r>
      <w:r w:rsidRPr="00811649">
        <w:rPr>
          <w:rFonts w:ascii="Arial" w:hAnsi="Arial" w:cs="Arial"/>
          <w:b/>
          <w:sz w:val="22"/>
          <w:szCs w:val="22"/>
          <w:lang w:val="en-US"/>
        </w:rPr>
        <w:t>Süsal C</w:t>
      </w:r>
      <w:r w:rsidRPr="00811649">
        <w:rPr>
          <w:rFonts w:ascii="Arial" w:hAnsi="Arial" w:cs="Arial"/>
          <w:sz w:val="22"/>
          <w:szCs w:val="22"/>
          <w:lang w:val="en-US"/>
        </w:rPr>
        <w:t>.</w:t>
      </w:r>
      <w:r>
        <w:rPr>
          <w:rFonts w:ascii="Arial" w:hAnsi="Arial" w:cs="Arial"/>
          <w:sz w:val="22"/>
          <w:szCs w:val="22"/>
          <w:lang w:val="en-US"/>
        </w:rPr>
        <w:t xml:space="preserve"> </w:t>
      </w:r>
      <w:r w:rsidRPr="00811649">
        <w:rPr>
          <w:rFonts w:ascii="Arial" w:hAnsi="Arial" w:cs="Arial"/>
          <w:sz w:val="22"/>
          <w:szCs w:val="22"/>
          <w:lang w:val="en-US"/>
        </w:rPr>
        <w:t>Soluble urokinase receptor and mortality in kidney transplant recipients</w:t>
      </w:r>
      <w:r>
        <w:rPr>
          <w:rFonts w:ascii="Arial" w:hAnsi="Arial" w:cs="Arial"/>
          <w:sz w:val="22"/>
          <w:szCs w:val="22"/>
          <w:lang w:val="en-US"/>
        </w:rPr>
        <w:t>. Transplantation (in press)</w:t>
      </w:r>
    </w:p>
    <w:p w14:paraId="2F43D6F6" w14:textId="77777777" w:rsidR="00D357D9" w:rsidRPr="00D357D9" w:rsidRDefault="00D357D9" w:rsidP="00D357D9">
      <w:pPr>
        <w:numPr>
          <w:ilvl w:val="0"/>
          <w:numId w:val="1"/>
        </w:numPr>
        <w:shd w:val="clear" w:color="auto" w:fill="FFFFFF"/>
        <w:tabs>
          <w:tab w:val="left" w:pos="0"/>
        </w:tabs>
        <w:spacing w:before="120" w:line="320" w:lineRule="exact"/>
        <w:rPr>
          <w:rFonts w:ascii="Arial" w:hAnsi="Arial" w:cs="Arial"/>
          <w:sz w:val="22"/>
          <w:szCs w:val="22"/>
          <w:lang w:val="en-US"/>
        </w:rPr>
      </w:pPr>
      <w:r w:rsidRPr="00D357D9">
        <w:rPr>
          <w:rFonts w:ascii="Arial" w:hAnsi="Arial" w:cs="Arial"/>
          <w:sz w:val="22"/>
          <w:szCs w:val="22"/>
          <w:lang w:val="en-US"/>
        </w:rPr>
        <w:t xml:space="preserve">Carapito R, Aouadi I, Verniquet M, Untrau M, Pichot A, Beaudrey T, Bassand X, Meyer S, Faucher L, Posson J, Morlon A, Kotova I, Delbos F, Walencik A, Aarnink A, Kennel A, Suberbielle C, Taupin JL, Matern BM, Spierings E, Congy-Jolivet N, Essaydi A, Perrin P, Blancher A, Charron D, Cereb N, Maumy-Bertrand M, Bertrand F, Garrigue V, Pernin V, Weekers L, Naesens M, Kamar N, Legendre C, Glotz D, Caillard S, Ladrière M, Giral, Anglicheau D, </w:t>
      </w:r>
      <w:r w:rsidRPr="00D357D9">
        <w:rPr>
          <w:rFonts w:ascii="Arial" w:hAnsi="Arial" w:cs="Arial"/>
          <w:b/>
          <w:sz w:val="22"/>
          <w:szCs w:val="22"/>
          <w:lang w:val="en-US"/>
        </w:rPr>
        <w:t>Süsal C</w:t>
      </w:r>
      <w:r w:rsidRPr="00D357D9">
        <w:rPr>
          <w:rFonts w:ascii="Arial" w:hAnsi="Arial" w:cs="Arial"/>
          <w:sz w:val="22"/>
          <w:szCs w:val="22"/>
          <w:lang w:val="en-US"/>
        </w:rPr>
        <w:t>,  Bahram S. The MHC class I MICA gene is a histocompatibility antigen in kidney tran</w:t>
      </w:r>
      <w:r w:rsidR="0076570F">
        <w:rPr>
          <w:rFonts w:ascii="Arial" w:hAnsi="Arial" w:cs="Arial"/>
          <w:sz w:val="22"/>
          <w:szCs w:val="22"/>
          <w:lang w:val="en-US"/>
        </w:rPr>
        <w:t>splantation. Nat Med (in press)</w:t>
      </w:r>
    </w:p>
    <w:p w14:paraId="589A6F83" w14:textId="77777777" w:rsidR="0093386A" w:rsidRPr="00E40F70" w:rsidRDefault="0093386A" w:rsidP="00865DFA">
      <w:p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b/>
          <w:sz w:val="22"/>
          <w:szCs w:val="22"/>
          <w:lang w:val="en-US"/>
        </w:rPr>
        <w:t>Guideline Articles</w:t>
      </w:r>
    </w:p>
    <w:p w14:paraId="37B4CDC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Tait BD, </w:t>
      </w:r>
      <w:r w:rsidRPr="00E40F70">
        <w:rPr>
          <w:rFonts w:ascii="Arial" w:hAnsi="Arial" w:cs="Arial"/>
          <w:b/>
          <w:sz w:val="22"/>
          <w:szCs w:val="22"/>
          <w:lang w:val="en-US"/>
        </w:rPr>
        <w:t>Süsal C</w:t>
      </w:r>
      <w:r w:rsidRPr="00E40F70">
        <w:rPr>
          <w:rFonts w:ascii="Arial" w:hAnsi="Arial" w:cs="Arial"/>
          <w:sz w:val="22"/>
          <w:szCs w:val="22"/>
          <w:lang w:val="en-US"/>
        </w:rPr>
        <w:t xml:space="preserve">, Gebel HM, Nickerson PW, Zachary AA, Claas FH, Reed EF, Bray RA, Campbell P, Chapman JR, Coates PT, Colvin RB, Cozzi E, Doxiadis II, Fuggle SV, Gill J, Glotz D, </w:t>
      </w:r>
      <w:r w:rsidRPr="00E40F70">
        <w:rPr>
          <w:rFonts w:ascii="Arial" w:hAnsi="Arial" w:cs="Arial"/>
          <w:bCs/>
          <w:sz w:val="22"/>
          <w:szCs w:val="22"/>
          <w:lang w:val="en-US"/>
        </w:rPr>
        <w:t>Lachmann</w:t>
      </w:r>
      <w:r w:rsidRPr="00E40F70">
        <w:rPr>
          <w:rFonts w:ascii="Arial" w:hAnsi="Arial" w:cs="Arial"/>
          <w:sz w:val="22"/>
          <w:szCs w:val="22"/>
          <w:lang w:val="en-US"/>
        </w:rPr>
        <w:t xml:space="preserve"> N, Mohanakumar T, Suciu-Foca N, Sumitran-Holgersson S, Tanabe K, Taylor CJ, Tyan DB, Webster A, Zeevi A, Opelz G.</w:t>
      </w:r>
      <w:r w:rsidRPr="00E40F70">
        <w:rPr>
          <w:rFonts w:ascii="Arial" w:hAnsi="Arial" w:cs="Arial"/>
          <w:b/>
          <w:sz w:val="22"/>
          <w:szCs w:val="22"/>
          <w:lang w:val="en-US"/>
        </w:rPr>
        <w:t xml:space="preserve"> </w:t>
      </w:r>
      <w:r w:rsidRPr="00E40F70">
        <w:rPr>
          <w:rFonts w:ascii="Arial" w:hAnsi="Arial" w:cs="Arial"/>
          <w:sz w:val="22"/>
          <w:szCs w:val="22"/>
          <w:lang w:val="en-US"/>
        </w:rPr>
        <w:t>Consensus guidelines on the testing and clinical management issues associated with HLA and non-HLA antibodies in transplantation. Transplantation 95:19-47, 2013.</w:t>
      </w:r>
      <w:r w:rsidRPr="00E40F70">
        <w:rPr>
          <w:rFonts w:ascii="Arial" w:hAnsi="Arial" w:cs="Arial"/>
          <w:b/>
          <w:color w:val="000000"/>
          <w:sz w:val="22"/>
          <w:szCs w:val="22"/>
          <w:lang w:val="en-US"/>
        </w:rPr>
        <w:t xml:space="preserve"> </w:t>
      </w:r>
    </w:p>
    <w:p w14:paraId="2E4644CC"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Seidl C, Schönemann C, Heinemann FM, Kauke T, Gombos P, Kelsch R, Arns W, Bauerfeind U, Hallensleben M, Hauser IA, Einecke G, Blasczyk R. </w:t>
      </w:r>
      <w:r w:rsidRPr="00E40F70">
        <w:rPr>
          <w:rFonts w:ascii="Arial" w:hAnsi="Arial" w:cs="Arial"/>
          <w:bCs/>
          <w:sz w:val="22"/>
          <w:szCs w:val="22"/>
          <w:lang w:val="en-US"/>
        </w:rPr>
        <w:t xml:space="preserve">Determination of unacceptable HLA antigen mismatches in kidney transplant recipients: recommendations of </w:t>
      </w:r>
      <w:r w:rsidRPr="00E40F70">
        <w:rPr>
          <w:rFonts w:ascii="Arial" w:hAnsi="Arial" w:cs="Arial"/>
          <w:sz w:val="22"/>
          <w:szCs w:val="22"/>
          <w:lang w:val="en-US"/>
        </w:rPr>
        <w:t>the</w:t>
      </w:r>
      <w:r w:rsidRPr="00E40F70">
        <w:rPr>
          <w:rFonts w:ascii="Arial" w:hAnsi="Arial" w:cs="Arial"/>
          <w:bCs/>
          <w:sz w:val="22"/>
          <w:szCs w:val="22"/>
          <w:lang w:val="en-US"/>
        </w:rPr>
        <w:t xml:space="preserve"> German Society for Immunogenetics.</w:t>
      </w:r>
      <w:r w:rsidRPr="00E40F70">
        <w:rPr>
          <w:rFonts w:ascii="Arial" w:hAnsi="Arial" w:cs="Arial"/>
          <w:sz w:val="22"/>
          <w:szCs w:val="22"/>
          <w:lang w:val="en-US"/>
        </w:rPr>
        <w:t xml:space="preserve"> Tissue </w:t>
      </w:r>
      <w:r w:rsidRPr="00E40F70">
        <w:rPr>
          <w:rFonts w:ascii="Arial" w:hAnsi="Arial" w:cs="Arial"/>
          <w:color w:val="000000"/>
          <w:sz w:val="22"/>
          <w:szCs w:val="22"/>
          <w:lang w:val="en-US"/>
        </w:rPr>
        <w:t xml:space="preserve">Antigens 86:317-323, 2015 </w:t>
      </w:r>
    </w:p>
    <w:bookmarkEnd w:id="1"/>
    <w:p w14:paraId="58CA1E39" w14:textId="77777777" w:rsidR="00616F9A" w:rsidRPr="00E40F70" w:rsidRDefault="00616F9A" w:rsidP="00616F9A">
      <w:pPr>
        <w:tabs>
          <w:tab w:val="left" w:pos="0"/>
          <w:tab w:val="left" w:pos="284"/>
        </w:tabs>
        <w:spacing w:before="120" w:line="320" w:lineRule="exact"/>
        <w:rPr>
          <w:rFonts w:ascii="Arial" w:hAnsi="Arial" w:cs="Arial"/>
          <w:sz w:val="22"/>
          <w:szCs w:val="22"/>
          <w:lang w:val="en-US"/>
        </w:rPr>
      </w:pPr>
      <w:r w:rsidRPr="00E40F70">
        <w:rPr>
          <w:rFonts w:ascii="Arial" w:hAnsi="Arial" w:cs="Arial"/>
          <w:b/>
          <w:sz w:val="22"/>
          <w:szCs w:val="22"/>
          <w:lang w:val="en-US"/>
        </w:rPr>
        <w:t>Review Articles</w:t>
      </w:r>
    </w:p>
    <w:p w14:paraId="5CF661EC"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Terness P, Opelz G. Antikörper schützen vor Antikörpern. Immunol Spektrum 6:8-10, 1989</w:t>
      </w:r>
    </w:p>
    <w:p w14:paraId="7317862E"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Guo Z, Terness P, </w:t>
      </w:r>
      <w:r w:rsidRPr="00E40F70">
        <w:rPr>
          <w:rFonts w:ascii="Arial" w:hAnsi="Arial" w:cs="Arial"/>
          <w:b/>
          <w:sz w:val="22"/>
          <w:szCs w:val="22"/>
          <w:lang w:val="en-US"/>
        </w:rPr>
        <w:t>Süsal C</w:t>
      </w:r>
      <w:r w:rsidRPr="00E40F70">
        <w:rPr>
          <w:rFonts w:ascii="Arial" w:hAnsi="Arial" w:cs="Arial"/>
          <w:sz w:val="22"/>
          <w:szCs w:val="22"/>
          <w:lang w:val="en-US"/>
        </w:rPr>
        <w:t>, Opelz G. Antibody suppresses antibody response. Ellipse 23:328-332, 1990</w:t>
      </w:r>
    </w:p>
    <w:p w14:paraId="68837EAE"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Guo Z, Terness P, </w:t>
      </w:r>
      <w:r w:rsidRPr="00E40F70">
        <w:rPr>
          <w:rFonts w:ascii="Arial" w:hAnsi="Arial" w:cs="Arial"/>
          <w:b/>
          <w:sz w:val="22"/>
          <w:szCs w:val="22"/>
          <w:lang w:val="en-US"/>
        </w:rPr>
        <w:t>Süsal C</w:t>
      </w:r>
      <w:r w:rsidRPr="00E40F70">
        <w:rPr>
          <w:rFonts w:ascii="Arial" w:hAnsi="Arial" w:cs="Arial"/>
          <w:sz w:val="22"/>
          <w:szCs w:val="22"/>
          <w:lang w:val="en-US"/>
        </w:rPr>
        <w:t>, Opelz G. Selbstregulation der B-Lymphozyten. Immunol Spektrum 6:4-8, 1990</w:t>
      </w:r>
    </w:p>
    <w:p w14:paraId="179FCFAD"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lastRenderedPageBreak/>
        <w:t>Süsal C</w:t>
      </w:r>
      <w:r w:rsidRPr="00E40F70">
        <w:rPr>
          <w:rFonts w:ascii="Arial" w:hAnsi="Arial" w:cs="Arial"/>
          <w:sz w:val="22"/>
          <w:szCs w:val="22"/>
          <w:lang w:val="en-US"/>
        </w:rPr>
        <w:t>, Kröpelin M, Wiesel M, Carl S, Staehler G, Groth J, May G, Opelz G. IgA-Serumspiegel als Indikator für die Dosierung von Immunsuppressiva. Perspektive Transplantation 4:13-14, 1996</w:t>
      </w:r>
    </w:p>
    <w:p w14:paraId="68EED9FD" w14:textId="77777777" w:rsidR="00616F9A" w:rsidRPr="00E40F70" w:rsidRDefault="00616F9A" w:rsidP="00616F9A">
      <w:pPr>
        <w:numPr>
          <w:ilvl w:val="0"/>
          <w:numId w:val="1"/>
        </w:numPr>
        <w:tabs>
          <w:tab w:val="left" w:pos="0"/>
        </w:tabs>
        <w:spacing w:before="120" w:line="320" w:lineRule="exact"/>
        <w:rPr>
          <w:rStyle w:val="ti2"/>
          <w:rFonts w:ascii="Arial" w:hAnsi="Arial" w:cs="Arial"/>
          <w:lang w:val="en-US"/>
        </w:rPr>
      </w:pPr>
      <w:r w:rsidRPr="00E40F70">
        <w:rPr>
          <w:rStyle w:val="ti2"/>
          <w:rFonts w:ascii="Arial" w:hAnsi="Arial" w:cs="Arial"/>
          <w:b/>
          <w:lang w:val="en-US"/>
        </w:rPr>
        <w:t>Süsal C</w:t>
      </w:r>
      <w:r w:rsidRPr="00E40F70">
        <w:rPr>
          <w:rStyle w:val="ti2"/>
          <w:rFonts w:ascii="Arial" w:hAnsi="Arial" w:cs="Arial"/>
          <w:lang w:val="en-US"/>
        </w:rPr>
        <w:t>. Vorsensibilisierung – ein bald gelöstes Problem? Diatra 3:35-38, 2006</w:t>
      </w:r>
    </w:p>
    <w:p w14:paraId="2E2DBD51" w14:textId="77777777" w:rsidR="00616F9A" w:rsidRPr="00E40F70" w:rsidRDefault="00CF3246" w:rsidP="00616F9A">
      <w:pPr>
        <w:numPr>
          <w:ilvl w:val="0"/>
          <w:numId w:val="1"/>
        </w:numPr>
        <w:tabs>
          <w:tab w:val="left" w:pos="0"/>
        </w:tabs>
        <w:spacing w:before="120" w:line="320" w:lineRule="exact"/>
        <w:rPr>
          <w:rStyle w:val="pages"/>
          <w:rFonts w:ascii="Arial" w:hAnsi="Arial" w:cs="Arial"/>
          <w:sz w:val="22"/>
          <w:szCs w:val="22"/>
          <w:lang w:val="en-US"/>
        </w:rPr>
      </w:pPr>
      <w:hyperlink r:id="rId43" w:history="1">
        <w:r w:rsidR="00616F9A" w:rsidRPr="00E40F70">
          <w:rPr>
            <w:rStyle w:val="Hyperlink"/>
            <w:rFonts w:ascii="Arial" w:hAnsi="Arial" w:cs="Arial"/>
            <w:color w:val="auto"/>
            <w:sz w:val="22"/>
            <w:szCs w:val="22"/>
            <w:u w:val="none"/>
            <w:lang w:val="en-US"/>
          </w:rPr>
          <w:t xml:space="preserve">Beimler JH, </w:t>
        </w:r>
        <w:r w:rsidR="00616F9A" w:rsidRPr="00E40F70">
          <w:rPr>
            <w:rStyle w:val="Hyperlink"/>
            <w:rFonts w:ascii="Arial" w:hAnsi="Arial" w:cs="Arial"/>
            <w:b/>
            <w:color w:val="auto"/>
            <w:sz w:val="22"/>
            <w:szCs w:val="22"/>
            <w:u w:val="none"/>
            <w:lang w:val="en-US"/>
          </w:rPr>
          <w:t>Süsal C</w:t>
        </w:r>
        <w:r w:rsidR="00616F9A" w:rsidRPr="00E40F70">
          <w:rPr>
            <w:rStyle w:val="Hyperlink"/>
            <w:rFonts w:ascii="Arial" w:hAnsi="Arial" w:cs="Arial"/>
            <w:color w:val="auto"/>
            <w:sz w:val="22"/>
            <w:szCs w:val="22"/>
            <w:u w:val="none"/>
            <w:lang w:val="en-US"/>
          </w:rPr>
          <w:t>, Zeier M</w:t>
        </w:r>
      </w:hyperlink>
      <w:r w:rsidR="00616F9A" w:rsidRPr="00E40F70">
        <w:rPr>
          <w:rFonts w:ascii="Arial" w:hAnsi="Arial" w:cs="Arial"/>
          <w:sz w:val="22"/>
          <w:szCs w:val="22"/>
          <w:lang w:val="en-US"/>
        </w:rPr>
        <w:t xml:space="preserve">. Desensitization strategies enabling successful renal transplantation in highly sensitized patients. Clin Transplant </w:t>
      </w:r>
      <w:r w:rsidR="00616F9A" w:rsidRPr="00E40F70">
        <w:rPr>
          <w:rStyle w:val="volume"/>
          <w:rFonts w:ascii="Arial" w:hAnsi="Arial" w:cs="Arial"/>
          <w:sz w:val="22"/>
          <w:szCs w:val="22"/>
          <w:lang w:val="en-US"/>
        </w:rPr>
        <w:t>20 Suppl 17</w:t>
      </w:r>
      <w:r w:rsidR="00616F9A" w:rsidRPr="00E40F70">
        <w:rPr>
          <w:rFonts w:ascii="Arial" w:hAnsi="Arial" w:cs="Arial"/>
          <w:sz w:val="22"/>
          <w:szCs w:val="22"/>
          <w:lang w:val="en-US"/>
        </w:rPr>
        <w:t>:</w:t>
      </w:r>
      <w:r w:rsidR="00616F9A" w:rsidRPr="00E40F70">
        <w:rPr>
          <w:rStyle w:val="pages"/>
          <w:rFonts w:ascii="Arial" w:hAnsi="Arial" w:cs="Arial"/>
          <w:sz w:val="22"/>
          <w:szCs w:val="22"/>
          <w:lang w:val="en-US"/>
        </w:rPr>
        <w:t xml:space="preserve">7-12, 2006 </w:t>
      </w:r>
      <w:r w:rsidR="00616F9A" w:rsidRPr="00E40F70">
        <w:rPr>
          <w:rFonts w:ascii="Arial" w:hAnsi="Arial" w:cs="Arial"/>
          <w:b/>
          <w:sz w:val="22"/>
          <w:szCs w:val="22"/>
          <w:lang w:val="en-US"/>
        </w:rPr>
        <w:t>(IF 1.844)</w:t>
      </w:r>
    </w:p>
    <w:p w14:paraId="2BC49050"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Opelz G. Options for immunologic support of renal transplantation through</w:t>
      </w:r>
      <w:r w:rsidRPr="00E40F70">
        <w:rPr>
          <w:rFonts w:ascii="Arial" w:hAnsi="Arial" w:cs="Arial"/>
          <w:color w:val="000000"/>
          <w:sz w:val="22"/>
          <w:szCs w:val="22"/>
          <w:lang w:val="en-US"/>
        </w:rPr>
        <w:t xml:space="preserve"> the HLA and immunology laboratories. Am J Transplant </w:t>
      </w:r>
      <w:r w:rsidRPr="00E40F70">
        <w:rPr>
          <w:rStyle w:val="volume"/>
          <w:rFonts w:ascii="Arial" w:hAnsi="Arial" w:cs="Arial"/>
          <w:color w:val="000000"/>
          <w:sz w:val="22"/>
          <w:szCs w:val="22"/>
          <w:lang w:val="en-US"/>
        </w:rPr>
        <w:t>7</w:t>
      </w:r>
      <w:r w:rsidRPr="00E40F70">
        <w:rPr>
          <w:rFonts w:ascii="Arial" w:hAnsi="Arial" w:cs="Arial"/>
          <w:color w:val="000000"/>
          <w:sz w:val="22"/>
          <w:szCs w:val="22"/>
          <w:lang w:val="en-US"/>
        </w:rPr>
        <w:t>:</w:t>
      </w:r>
      <w:r w:rsidRPr="00E40F70">
        <w:rPr>
          <w:rStyle w:val="pages"/>
          <w:rFonts w:ascii="Arial" w:hAnsi="Arial" w:cs="Arial"/>
          <w:color w:val="000000"/>
          <w:sz w:val="22"/>
          <w:szCs w:val="22"/>
          <w:lang w:val="en-US"/>
        </w:rPr>
        <w:t xml:space="preserve">1450-1456, 2007 </w:t>
      </w:r>
      <w:r w:rsidRPr="00E40F70">
        <w:rPr>
          <w:rStyle w:val="pages"/>
          <w:rFonts w:ascii="Arial" w:hAnsi="Arial" w:cs="Arial"/>
          <w:b/>
          <w:color w:val="000000"/>
          <w:sz w:val="22"/>
          <w:szCs w:val="22"/>
          <w:lang w:val="en-US"/>
        </w:rPr>
        <w:t xml:space="preserve">(IF </w:t>
      </w:r>
      <w:r w:rsidRPr="00E40F70">
        <w:rPr>
          <w:rFonts w:ascii="Arial" w:hAnsi="Arial" w:cs="Arial"/>
          <w:b/>
          <w:color w:val="000000"/>
          <w:sz w:val="22"/>
          <w:szCs w:val="22"/>
          <w:lang w:val="en-US"/>
        </w:rPr>
        <w:t>7.163)</w:t>
      </w:r>
    </w:p>
    <w:p w14:paraId="2EE11645" w14:textId="77777777" w:rsidR="00616F9A" w:rsidRPr="00E40F70" w:rsidRDefault="00616F9A" w:rsidP="00616F9A">
      <w:pPr>
        <w:numPr>
          <w:ilvl w:val="0"/>
          <w:numId w:val="1"/>
        </w:numPr>
        <w:tabs>
          <w:tab w:val="left" w:pos="0"/>
        </w:tabs>
        <w:spacing w:before="120" w:line="320" w:lineRule="exact"/>
        <w:rPr>
          <w:rFonts w:ascii="Arial" w:hAnsi="Arial" w:cs="Arial"/>
          <w:b/>
          <w:color w:val="000000"/>
          <w:sz w:val="22"/>
          <w:szCs w:val="22"/>
          <w:lang w:val="en-US"/>
        </w:rPr>
      </w:pPr>
      <w:r w:rsidRPr="00E40F70">
        <w:rPr>
          <w:rFonts w:ascii="Arial" w:hAnsi="Arial" w:cs="Arial"/>
          <w:color w:val="000000"/>
          <w:sz w:val="22"/>
          <w:szCs w:val="22"/>
          <w:lang w:val="en-US"/>
        </w:rPr>
        <w:t xml:space="preserve">Wieland E, Olbricht CJ,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Gurragchaa P, Böhler T, Israeli M, Sommerer C, Budde C, Hartmann B, Shipkova M, Oellerich M. Biomarkers as a tool for management of immunosuppression in transplant patients. </w:t>
      </w:r>
      <w:r w:rsidRPr="00E40F70">
        <w:rPr>
          <w:rStyle w:val="jrnl"/>
          <w:rFonts w:ascii="Arial" w:hAnsi="Arial" w:cs="Arial"/>
          <w:color w:val="000000"/>
          <w:sz w:val="22"/>
          <w:szCs w:val="22"/>
          <w:lang w:val="en-US"/>
        </w:rPr>
        <w:t xml:space="preserve">Ther Drug Monit </w:t>
      </w:r>
      <w:r w:rsidRPr="00E40F70">
        <w:rPr>
          <w:rFonts w:ascii="Arial" w:hAnsi="Arial" w:cs="Arial"/>
          <w:color w:val="000000"/>
          <w:sz w:val="22"/>
          <w:szCs w:val="22"/>
          <w:lang w:val="en-US"/>
        </w:rPr>
        <w:t>32:560-572, 2010</w:t>
      </w:r>
    </w:p>
    <w:p w14:paraId="0C201A4E"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Morath C. </w:t>
      </w:r>
      <w:hyperlink r:id="rId44" w:history="1">
        <w:r w:rsidRPr="00E40F70">
          <w:rPr>
            <w:rStyle w:val="Hyperlink"/>
            <w:rFonts w:ascii="Arial" w:hAnsi="Arial" w:cs="Arial"/>
            <w:color w:val="000000"/>
            <w:sz w:val="22"/>
            <w:szCs w:val="22"/>
            <w:u w:val="none"/>
            <w:lang w:val="en-US"/>
          </w:rPr>
          <w:t>Current approaches to the management of highly sensitized kidney transplant patients.</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 xml:space="preserve">Tissue Antigens </w:t>
      </w:r>
      <w:r w:rsidRPr="00E40F70">
        <w:rPr>
          <w:rFonts w:ascii="Arial" w:hAnsi="Arial" w:cs="Arial"/>
          <w:color w:val="000000"/>
          <w:sz w:val="22"/>
          <w:szCs w:val="22"/>
          <w:lang w:val="en-US"/>
        </w:rPr>
        <w:t>77:177-186, 2011</w:t>
      </w:r>
    </w:p>
    <w:p w14:paraId="469DCF85"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color w:val="000000"/>
          <w:sz w:val="22"/>
          <w:szCs w:val="22"/>
          <w:lang w:val="en-US"/>
        </w:rPr>
        <w:t xml:space="preserve">Morath C, Schmidt J, Opelz G, Zeier M,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w:t>
      </w:r>
      <w:hyperlink r:id="rId45" w:history="1">
        <w:r w:rsidRPr="00E40F70">
          <w:rPr>
            <w:rStyle w:val="Hyperlink"/>
            <w:rFonts w:ascii="Arial" w:hAnsi="Arial" w:cs="Arial"/>
            <w:color w:val="000000"/>
            <w:sz w:val="22"/>
            <w:szCs w:val="22"/>
            <w:u w:val="none"/>
            <w:lang w:val="en-US"/>
          </w:rPr>
          <w:t>Kidney transplantation in highly sensitized patients: are there options to overcome a positive crossmatch?</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Langenbecks Arch Surg</w:t>
      </w:r>
      <w:r w:rsidRPr="00E40F70">
        <w:rPr>
          <w:rFonts w:ascii="Arial" w:hAnsi="Arial" w:cs="Arial"/>
          <w:color w:val="000000"/>
          <w:sz w:val="22"/>
          <w:szCs w:val="22"/>
          <w:lang w:val="en-US"/>
        </w:rPr>
        <w:t xml:space="preserve"> 396:467-474, 2011 </w:t>
      </w:r>
    </w:p>
    <w:p w14:paraId="2F2EE919"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Opelz G, Zeier M, </w:t>
      </w:r>
      <w:r w:rsidRPr="00E40F70">
        <w:rPr>
          <w:rFonts w:ascii="Arial" w:hAnsi="Arial" w:cs="Arial"/>
          <w:b/>
          <w:sz w:val="22"/>
          <w:szCs w:val="22"/>
          <w:lang w:val="en-US"/>
        </w:rPr>
        <w:t>Süsal C</w:t>
      </w:r>
      <w:bookmarkStart w:id="3" w:name="OLE_LINK2"/>
      <w:r w:rsidRPr="00E40F70">
        <w:rPr>
          <w:rFonts w:ascii="Arial" w:hAnsi="Arial" w:cs="Arial"/>
          <w:sz w:val="22"/>
          <w:szCs w:val="22"/>
          <w:lang w:val="en-US"/>
        </w:rPr>
        <w:t xml:space="preserve">. Recent developments in desensitization of crossmatch-positive kidney transplant recipients. Transplant Proc </w:t>
      </w:r>
      <w:r w:rsidRPr="00E40F70">
        <w:rPr>
          <w:rFonts w:ascii="Arial" w:hAnsi="Arial" w:cs="Arial"/>
          <w:sz w:val="22"/>
          <w:szCs w:val="22"/>
          <w:lang w:val="en-US" w:eastAsia="en-US"/>
        </w:rPr>
        <w:t>44:1648-1651, 2012</w:t>
      </w:r>
    </w:p>
    <w:bookmarkEnd w:id="3"/>
    <w:p w14:paraId="35B13E5F" w14:textId="77777777" w:rsidR="00616F9A" w:rsidRPr="00E40F70" w:rsidRDefault="00616F9A" w:rsidP="00616F9A">
      <w:pPr>
        <w:numPr>
          <w:ilvl w:val="0"/>
          <w:numId w:val="1"/>
        </w:numPr>
        <w:tabs>
          <w:tab w:val="left" w:pos="0"/>
        </w:tabs>
        <w:spacing w:before="120" w:line="320" w:lineRule="exact"/>
        <w:rPr>
          <w:rFonts w:ascii="Arial" w:hAnsi="Arial" w:cs="Arial"/>
          <w:color w:val="000000"/>
          <w:sz w:val="22"/>
          <w:szCs w:val="22"/>
          <w:lang w:val="en-US"/>
        </w:rPr>
      </w:pP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Opelz G. </w:t>
      </w:r>
      <w:hyperlink r:id="rId46" w:history="1">
        <w:r w:rsidRPr="00E40F70">
          <w:rPr>
            <w:rStyle w:val="Hyperlink"/>
            <w:rFonts w:ascii="Arial" w:hAnsi="Arial" w:cs="Arial"/>
            <w:color w:val="000000"/>
            <w:sz w:val="22"/>
            <w:szCs w:val="22"/>
            <w:u w:val="none"/>
            <w:lang w:val="en-US"/>
          </w:rPr>
          <w:t>Posttransplant sCD30 as a biomarker to predict kidney graft outcome.</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 xml:space="preserve">Clin Chim Acta </w:t>
      </w:r>
      <w:r w:rsidRPr="00E40F70">
        <w:rPr>
          <w:rFonts w:ascii="Arial" w:hAnsi="Arial" w:cs="Arial"/>
          <w:sz w:val="22"/>
          <w:szCs w:val="22"/>
          <w:lang w:val="en-US"/>
        </w:rPr>
        <w:t>413:1350-1353, 2012</w:t>
      </w:r>
    </w:p>
    <w:p w14:paraId="6BB297A1"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Opelz G, Zeier M, </w:t>
      </w:r>
      <w:r w:rsidRPr="00E40F70">
        <w:rPr>
          <w:rFonts w:ascii="Arial" w:hAnsi="Arial" w:cs="Arial"/>
          <w:b/>
          <w:sz w:val="22"/>
          <w:szCs w:val="22"/>
          <w:lang w:val="en-US"/>
        </w:rPr>
        <w:t>Süsal C</w:t>
      </w:r>
      <w:r w:rsidRPr="00E40F70">
        <w:rPr>
          <w:rFonts w:ascii="Arial" w:hAnsi="Arial" w:cs="Arial"/>
          <w:sz w:val="22"/>
          <w:szCs w:val="22"/>
          <w:lang w:val="en-US"/>
        </w:rPr>
        <w:t xml:space="preserve">. </w:t>
      </w:r>
      <w:hyperlink r:id="rId47" w:history="1">
        <w:r w:rsidRPr="00E40F70">
          <w:rPr>
            <w:rStyle w:val="Hyperlink"/>
            <w:rFonts w:ascii="Arial" w:hAnsi="Arial" w:cs="Arial"/>
            <w:color w:val="auto"/>
            <w:sz w:val="22"/>
            <w:szCs w:val="22"/>
            <w:u w:val="none"/>
            <w:lang w:val="en-US"/>
          </w:rPr>
          <w:t>Recent developments in desensitization of crossmatch-positive kidney transplant recipients.</w:t>
        </w:r>
      </w:hyperlink>
      <w:r w:rsidRPr="00E40F70">
        <w:rPr>
          <w:rStyle w:val="jrnl"/>
          <w:rFonts w:ascii="Arial" w:hAnsi="Arial" w:cs="Arial"/>
          <w:sz w:val="22"/>
          <w:szCs w:val="22"/>
          <w:lang w:val="en-US"/>
        </w:rPr>
        <w:t xml:space="preserve"> Transplant Proc </w:t>
      </w:r>
      <w:r w:rsidRPr="00E40F70">
        <w:rPr>
          <w:rFonts w:ascii="Arial" w:hAnsi="Arial" w:cs="Arial"/>
          <w:sz w:val="22"/>
          <w:szCs w:val="22"/>
          <w:lang w:val="en-US"/>
        </w:rPr>
        <w:t xml:space="preserve">44:1648-51, 2012 </w:t>
      </w:r>
    </w:p>
    <w:p w14:paraId="3D6FE284"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w:t>
      </w:r>
      <w:r w:rsidRPr="00E40F70">
        <w:rPr>
          <w:rFonts w:ascii="Arial" w:hAnsi="Arial" w:cs="Arial"/>
          <w:sz w:val="22"/>
          <w:szCs w:val="22"/>
          <w:lang w:val="en-US"/>
        </w:rPr>
        <w:t xml:space="preserve"> </w:t>
      </w:r>
      <w:r w:rsidRPr="00E40F70">
        <w:rPr>
          <w:rFonts w:ascii="Arial" w:hAnsi="Arial" w:cs="Arial"/>
          <w:b/>
          <w:sz w:val="22"/>
          <w:szCs w:val="22"/>
          <w:lang w:val="en-US"/>
        </w:rPr>
        <w:t>C</w:t>
      </w:r>
      <w:r w:rsidRPr="00E40F70">
        <w:rPr>
          <w:rFonts w:ascii="Arial" w:hAnsi="Arial" w:cs="Arial"/>
          <w:sz w:val="22"/>
          <w:szCs w:val="22"/>
          <w:lang w:val="en-US"/>
        </w:rPr>
        <w:t xml:space="preserve">, Opelz G. </w:t>
      </w:r>
      <w:hyperlink r:id="rId48" w:history="1">
        <w:r w:rsidRPr="00E40F70">
          <w:rPr>
            <w:rStyle w:val="Hyperlink"/>
            <w:rFonts w:ascii="Arial" w:hAnsi="Arial" w:cs="Arial"/>
            <w:color w:val="auto"/>
            <w:sz w:val="22"/>
            <w:szCs w:val="22"/>
            <w:u w:val="none"/>
            <w:lang w:val="en-US"/>
          </w:rPr>
          <w:t>Impact of HLA matching and HLA antibodies in organ transplantation: a collaborative transplant study view.</w:t>
        </w:r>
      </w:hyperlink>
      <w:r w:rsidRPr="00E40F70">
        <w:rPr>
          <w:rStyle w:val="jrnl"/>
          <w:rFonts w:ascii="Arial" w:hAnsi="Arial" w:cs="Arial"/>
          <w:sz w:val="22"/>
          <w:szCs w:val="22"/>
          <w:lang w:val="en-US"/>
        </w:rPr>
        <w:t xml:space="preserve"> Methods Mol Biol</w:t>
      </w:r>
      <w:r w:rsidRPr="00E40F70">
        <w:rPr>
          <w:rFonts w:ascii="Arial" w:hAnsi="Arial" w:cs="Arial"/>
          <w:sz w:val="22"/>
          <w:szCs w:val="22"/>
          <w:lang w:val="en-US"/>
        </w:rPr>
        <w:t xml:space="preserve"> 882:267-77, 2012 </w:t>
      </w:r>
    </w:p>
    <w:p w14:paraId="0851B28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eastAsia="en-US"/>
        </w:rPr>
      </w:pPr>
      <w:r w:rsidRPr="00E40F70">
        <w:rPr>
          <w:rFonts w:ascii="Arial" w:hAnsi="Arial" w:cs="Arial"/>
          <w:sz w:val="22"/>
          <w:szCs w:val="22"/>
          <w:lang w:val="en-US"/>
        </w:rPr>
        <w:t xml:space="preserve">Morath C, Opelz G, Zeier M, </w:t>
      </w:r>
      <w:r w:rsidRPr="00E40F70">
        <w:rPr>
          <w:rFonts w:ascii="Arial" w:hAnsi="Arial" w:cs="Arial"/>
          <w:b/>
          <w:sz w:val="22"/>
          <w:szCs w:val="22"/>
          <w:lang w:val="en-US"/>
        </w:rPr>
        <w:t>Süsal C.</w:t>
      </w:r>
      <w:r w:rsidRPr="00E40F70">
        <w:rPr>
          <w:rFonts w:ascii="Arial" w:hAnsi="Arial" w:cs="Arial"/>
          <w:sz w:val="22"/>
          <w:szCs w:val="22"/>
          <w:lang w:val="en-US"/>
        </w:rPr>
        <w:t xml:space="preserve"> </w:t>
      </w:r>
      <w:hyperlink r:id="rId49" w:history="1">
        <w:r w:rsidRPr="00E40F70">
          <w:rPr>
            <w:rStyle w:val="Hyperlink"/>
            <w:rFonts w:ascii="Arial" w:hAnsi="Arial" w:cs="Arial"/>
            <w:color w:val="auto"/>
            <w:sz w:val="22"/>
            <w:szCs w:val="22"/>
            <w:u w:val="none"/>
            <w:lang w:val="en-US"/>
          </w:rPr>
          <w:t>Prevention of antibody-mediated kidney transplant rejection.</w:t>
        </w:r>
      </w:hyperlink>
      <w:r w:rsidRPr="00E40F70">
        <w:rPr>
          <w:rFonts w:ascii="Arial" w:hAnsi="Arial" w:cs="Arial"/>
          <w:sz w:val="22"/>
          <w:szCs w:val="22"/>
          <w:lang w:val="en-US"/>
        </w:rPr>
        <w:t xml:space="preserve"> </w:t>
      </w:r>
      <w:r w:rsidRPr="00E40F70">
        <w:rPr>
          <w:rStyle w:val="jrnl"/>
          <w:rFonts w:ascii="Arial" w:hAnsi="Arial" w:cs="Arial"/>
          <w:sz w:val="22"/>
          <w:szCs w:val="22"/>
          <w:lang w:val="en-US"/>
        </w:rPr>
        <w:t xml:space="preserve">Transpl Int </w:t>
      </w:r>
      <w:r w:rsidRPr="00E40F70">
        <w:rPr>
          <w:rFonts w:ascii="Arial" w:hAnsi="Arial" w:cs="Arial"/>
          <w:sz w:val="22"/>
          <w:szCs w:val="22"/>
          <w:lang w:val="en-US"/>
        </w:rPr>
        <w:t xml:space="preserve">25:633-645, 2012 </w:t>
      </w:r>
    </w:p>
    <w:p w14:paraId="4139BC74"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sz w:val="22"/>
          <w:szCs w:val="22"/>
          <w:lang w:val="en-US" w:eastAsia="en-US"/>
        </w:rPr>
        <w:t xml:space="preserve">Opelz G, Döhler B, Ruhenstroth A, Cinca S, Unterrainer C, Stricker L, Scherer S, Gombos P,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Daniel V, Tran H. </w:t>
      </w:r>
      <w:hyperlink r:id="rId50" w:history="1">
        <w:r w:rsidRPr="00E40F70">
          <w:rPr>
            <w:rFonts w:ascii="Arial" w:hAnsi="Arial" w:cs="Arial"/>
            <w:sz w:val="22"/>
            <w:szCs w:val="22"/>
            <w:lang w:val="en-US" w:eastAsia="en-US"/>
          </w:rPr>
          <w:t>The collaborative transplant study registry.</w:t>
        </w:r>
      </w:hyperlink>
      <w:r w:rsidRPr="00E40F70">
        <w:rPr>
          <w:rFonts w:ascii="Arial" w:hAnsi="Arial" w:cs="Arial"/>
          <w:sz w:val="22"/>
          <w:szCs w:val="22"/>
          <w:lang w:val="en-US" w:eastAsia="en-US"/>
        </w:rPr>
        <w:t xml:space="preserve"> Transplant Rev 27: 43-5, 2013 </w:t>
      </w:r>
    </w:p>
    <w:p w14:paraId="5EFF93D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sz w:val="22"/>
          <w:szCs w:val="22"/>
          <w:lang w:val="en-US" w:eastAsia="en-US"/>
        </w:rPr>
        <w:t xml:space="preserve">Schaefer SM,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Sommerer C, Zeier M, Morath C. </w:t>
      </w:r>
      <w:hyperlink r:id="rId51" w:history="1">
        <w:r w:rsidRPr="00E40F70">
          <w:rPr>
            <w:rFonts w:ascii="Arial" w:hAnsi="Arial" w:cs="Arial"/>
            <w:sz w:val="22"/>
            <w:szCs w:val="22"/>
            <w:lang w:val="en-US" w:eastAsia="en-US"/>
          </w:rPr>
          <w:t>Current pharmacotherapeutical options for the prevention of kidney transplant rejection.</w:t>
        </w:r>
      </w:hyperlink>
      <w:r w:rsidRPr="00E40F70">
        <w:rPr>
          <w:rFonts w:ascii="Arial" w:hAnsi="Arial" w:cs="Arial"/>
          <w:sz w:val="22"/>
          <w:szCs w:val="22"/>
          <w:lang w:val="en-US" w:eastAsia="en-US"/>
        </w:rPr>
        <w:t xml:space="preserve"> Expert Opin Pharmacother 14:1029-1041, 2013 </w:t>
      </w:r>
    </w:p>
    <w:p w14:paraId="0DD6A56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eastAsia="en-US"/>
        </w:rPr>
      </w:pPr>
      <w:r w:rsidRPr="00E40F70">
        <w:rPr>
          <w:rFonts w:ascii="Arial" w:hAnsi="Arial" w:cs="Arial"/>
          <w:b/>
          <w:sz w:val="22"/>
          <w:szCs w:val="22"/>
          <w:lang w:val="en-US" w:eastAsia="en-US"/>
        </w:rPr>
        <w:lastRenderedPageBreak/>
        <w:t>Süsal C</w:t>
      </w:r>
      <w:r w:rsidRPr="00E40F70">
        <w:rPr>
          <w:rFonts w:ascii="Arial" w:hAnsi="Arial" w:cs="Arial"/>
          <w:sz w:val="22"/>
          <w:szCs w:val="22"/>
          <w:lang w:val="en-US" w:eastAsia="en-US"/>
        </w:rPr>
        <w:t xml:space="preserve">, Opelz G, Morath C. </w:t>
      </w:r>
      <w:hyperlink r:id="rId52" w:history="1">
        <w:r w:rsidRPr="00E40F70">
          <w:rPr>
            <w:rFonts w:ascii="Arial" w:hAnsi="Arial" w:cs="Arial"/>
            <w:sz w:val="22"/>
            <w:szCs w:val="22"/>
            <w:lang w:val="en-US" w:eastAsia="en-US"/>
          </w:rPr>
          <w:t>Role and value of Luminex(®)-detected HLA antibodies before and after kidney transplantation.</w:t>
        </w:r>
      </w:hyperlink>
      <w:r w:rsidRPr="00E40F70">
        <w:rPr>
          <w:rFonts w:ascii="Arial" w:hAnsi="Arial" w:cs="Arial"/>
          <w:sz w:val="22"/>
          <w:szCs w:val="22"/>
          <w:lang w:val="en-US" w:eastAsia="en-US"/>
        </w:rPr>
        <w:t xml:space="preserve"> Transfus Med Hemother 40:190-195, 2013</w:t>
      </w:r>
    </w:p>
    <w:p w14:paraId="7E94FAAB"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eastAsia="en-US"/>
        </w:rPr>
      </w:pPr>
      <w:r w:rsidRPr="00E40F70">
        <w:rPr>
          <w:rFonts w:ascii="Arial" w:hAnsi="Arial" w:cs="Arial"/>
          <w:sz w:val="22"/>
          <w:szCs w:val="22"/>
          <w:lang w:val="en-US" w:eastAsia="en-US"/>
        </w:rPr>
        <w:t xml:space="preserve">Arns W, Dragun D, Nashsna B, Sommerer C, </w:t>
      </w:r>
      <w:r w:rsidRPr="00E40F70">
        <w:rPr>
          <w:rFonts w:ascii="Arial" w:hAnsi="Arial" w:cs="Arial"/>
          <w:b/>
          <w:bCs/>
          <w:sz w:val="22"/>
          <w:szCs w:val="22"/>
          <w:lang w:val="en-US" w:eastAsia="en-US"/>
        </w:rPr>
        <w:t>S</w:t>
      </w:r>
      <w:r w:rsidRPr="00E40F70">
        <w:rPr>
          <w:rFonts w:ascii="Arial" w:hAnsi="Arial" w:cs="Arial"/>
          <w:b/>
          <w:sz w:val="22"/>
          <w:szCs w:val="22"/>
          <w:lang w:val="en-US" w:eastAsia="en-US"/>
        </w:rPr>
        <w:t>üsal C</w:t>
      </w:r>
      <w:r w:rsidRPr="00E40F70">
        <w:rPr>
          <w:rFonts w:ascii="Arial" w:hAnsi="Arial" w:cs="Arial"/>
          <w:sz w:val="22"/>
          <w:szCs w:val="22"/>
          <w:lang w:val="en-US" w:eastAsia="en-US"/>
        </w:rPr>
        <w:t xml:space="preserve">, Zeier M. Donorspezifische Antikörper bei Nierentransplantation. DSA Advisory Board. Blickpunkt Medizin. Deutsche Medizinische Wochenschrift Mai 14, 2013 </w:t>
      </w:r>
    </w:p>
    <w:p w14:paraId="34617B8A" w14:textId="77777777" w:rsidR="00616F9A" w:rsidRPr="00E40F70" w:rsidRDefault="00616F9A" w:rsidP="00616F9A">
      <w:pPr>
        <w:pStyle w:val="BodyText"/>
        <w:numPr>
          <w:ilvl w:val="0"/>
          <w:numId w:val="1"/>
        </w:numPr>
        <w:shd w:val="clear" w:color="auto" w:fill="FFFFFF"/>
        <w:tabs>
          <w:tab w:val="left" w:pos="0"/>
        </w:tabs>
        <w:spacing w:line="320" w:lineRule="exact"/>
        <w:rPr>
          <w:rFonts w:ascii="Arial" w:hAnsi="Arial" w:cs="Arial"/>
          <w:b/>
          <w:sz w:val="22"/>
          <w:szCs w:val="22"/>
          <w:lang w:val="en-US" w:eastAsia="en-US"/>
        </w:rPr>
      </w:pPr>
      <w:r w:rsidRPr="00E40F70">
        <w:rPr>
          <w:rFonts w:ascii="Arial" w:hAnsi="Arial" w:cs="Arial"/>
          <w:sz w:val="22"/>
          <w:szCs w:val="22"/>
          <w:lang w:val="en-US" w:eastAsia="en-US"/>
        </w:rPr>
        <w:t xml:space="preserve">Becker LE,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Morath C. </w:t>
      </w:r>
      <w:hyperlink r:id="rId53" w:history="1">
        <w:r w:rsidRPr="00E40F70">
          <w:rPr>
            <w:rFonts w:ascii="Arial" w:hAnsi="Arial" w:cs="Arial"/>
            <w:sz w:val="22"/>
            <w:szCs w:val="22"/>
            <w:lang w:val="en-US" w:eastAsia="en-US"/>
          </w:rPr>
          <w:t>Kidney transplantation across HLA and ABO antibody barriers.</w:t>
        </w:r>
      </w:hyperlink>
      <w:r w:rsidRPr="00E40F70">
        <w:rPr>
          <w:rFonts w:ascii="Arial" w:hAnsi="Arial" w:cs="Arial"/>
          <w:sz w:val="22"/>
          <w:szCs w:val="22"/>
          <w:lang w:val="en-US" w:eastAsia="en-US"/>
        </w:rPr>
        <w:t xml:space="preserve"> Curr Opin Organ Transplant 18:445-54, 2013 </w:t>
      </w:r>
    </w:p>
    <w:p w14:paraId="1ACD3C12"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eastAsia="en-US"/>
        </w:rPr>
      </w:pP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Opelz G. </w:t>
      </w:r>
      <w:hyperlink r:id="rId54" w:history="1">
        <w:r w:rsidRPr="00E40F70">
          <w:rPr>
            <w:rFonts w:ascii="Arial" w:hAnsi="Arial" w:cs="Arial"/>
            <w:sz w:val="22"/>
            <w:szCs w:val="22"/>
            <w:lang w:val="en-US" w:eastAsia="en-US"/>
          </w:rPr>
          <w:t>Current role of human leukocyte antigen matching in kidney transplantation.</w:t>
        </w:r>
      </w:hyperlink>
      <w:r w:rsidRPr="00E40F70">
        <w:rPr>
          <w:rFonts w:ascii="Arial" w:hAnsi="Arial" w:cs="Arial"/>
          <w:sz w:val="22"/>
          <w:szCs w:val="22"/>
          <w:lang w:val="en-US" w:eastAsia="en-US"/>
        </w:rPr>
        <w:t xml:space="preserve"> Curr Opin Organ Transplant 18:438-444, 2013</w:t>
      </w:r>
      <w:r w:rsidRPr="00E40F70">
        <w:rPr>
          <w:rFonts w:ascii="Arial" w:hAnsi="Arial" w:cs="Arial"/>
          <w:b/>
          <w:sz w:val="22"/>
          <w:szCs w:val="22"/>
          <w:lang w:val="en-US" w:eastAsia="en-US"/>
        </w:rPr>
        <w:t xml:space="preserve"> </w:t>
      </w:r>
    </w:p>
    <w:p w14:paraId="4E86375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eastAsia="en-US"/>
        </w:rPr>
      </w:pPr>
      <w:r w:rsidRPr="00E40F70">
        <w:rPr>
          <w:rFonts w:ascii="Arial" w:hAnsi="Arial" w:cs="Arial"/>
          <w:sz w:val="22"/>
          <w:szCs w:val="22"/>
          <w:lang w:val="en-US" w:eastAsia="en-US"/>
        </w:rPr>
        <w:t xml:space="preserve">Wettstein D, Opelz G,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w:t>
      </w:r>
      <w:hyperlink r:id="rId55" w:history="1">
        <w:r w:rsidRPr="00E40F70">
          <w:rPr>
            <w:rFonts w:ascii="Arial" w:hAnsi="Arial" w:cs="Arial"/>
            <w:sz w:val="22"/>
            <w:szCs w:val="22"/>
            <w:lang w:val="en-US" w:eastAsia="en-US"/>
          </w:rPr>
          <w:t>HLA antibody screening in kidney transplantation: current guidelines.</w:t>
        </w:r>
      </w:hyperlink>
      <w:r w:rsidRPr="00E40F70">
        <w:rPr>
          <w:rFonts w:ascii="Arial" w:hAnsi="Arial" w:cs="Arial"/>
          <w:sz w:val="22"/>
          <w:szCs w:val="22"/>
          <w:lang w:val="en-US" w:eastAsia="en-US"/>
        </w:rPr>
        <w:t xml:space="preserve"> Langenbecks Arch Surg 399:415-420, 2014 </w:t>
      </w:r>
    </w:p>
    <w:p w14:paraId="0E05ABF2"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eastAsia="en-US"/>
        </w:rPr>
      </w:pPr>
      <w:r w:rsidRPr="00E40F70">
        <w:rPr>
          <w:rFonts w:ascii="Arial" w:hAnsi="Arial" w:cs="Arial"/>
          <w:sz w:val="22"/>
          <w:szCs w:val="22"/>
          <w:lang w:val="en-US" w:eastAsia="en-US"/>
        </w:rPr>
        <w:t xml:space="preserve">Morath C, Opelz G, Zeier M, </w:t>
      </w:r>
      <w:r w:rsidRPr="00E40F70">
        <w:rPr>
          <w:rFonts w:ascii="Arial" w:hAnsi="Arial" w:cs="Arial"/>
          <w:b/>
          <w:sz w:val="22"/>
          <w:szCs w:val="22"/>
          <w:lang w:val="en-US" w:eastAsia="en-US"/>
        </w:rPr>
        <w:t>Süsal C</w:t>
      </w:r>
      <w:r w:rsidRPr="00E40F70">
        <w:rPr>
          <w:rFonts w:ascii="Arial" w:hAnsi="Arial" w:cs="Arial"/>
          <w:sz w:val="22"/>
          <w:szCs w:val="22"/>
          <w:lang w:val="en-US" w:eastAsia="en-US"/>
        </w:rPr>
        <w:t>. Clinical relevance of HLA antibody monitoring after kidney transplantation. J I</w:t>
      </w:r>
      <w:r w:rsidRPr="00E40F70">
        <w:rPr>
          <w:rFonts w:ascii="Arial" w:hAnsi="Arial" w:cs="Arial"/>
          <w:sz w:val="22"/>
          <w:szCs w:val="22"/>
          <w:lang w:val="en-US"/>
        </w:rPr>
        <w:t xml:space="preserve">mmunol Res </w:t>
      </w:r>
      <w:r w:rsidRPr="00C8222E">
        <w:rPr>
          <w:rFonts w:ascii="Arial" w:hAnsi="Arial" w:cs="Arial"/>
          <w:sz w:val="22"/>
          <w:szCs w:val="22"/>
          <w:lang w:val="en-US"/>
        </w:rPr>
        <w:t>2014:845040</w:t>
      </w:r>
      <w:r>
        <w:rPr>
          <w:rFonts w:ascii="Arial" w:hAnsi="Arial" w:cs="Arial"/>
          <w:sz w:val="22"/>
          <w:szCs w:val="22"/>
          <w:lang w:val="en-US"/>
        </w:rPr>
        <w:t>,</w:t>
      </w:r>
      <w:r w:rsidRPr="00E40F70">
        <w:rPr>
          <w:rFonts w:ascii="Arial" w:hAnsi="Arial" w:cs="Arial"/>
          <w:sz w:val="22"/>
          <w:szCs w:val="22"/>
          <w:lang w:val="en-US"/>
        </w:rPr>
        <w:t xml:space="preserve"> 2014</w:t>
      </w:r>
      <w:r w:rsidRPr="00C8222E">
        <w:t xml:space="preserve"> </w:t>
      </w:r>
    </w:p>
    <w:p w14:paraId="0AA2244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Köster L, Krupka K, Höcker B, Rahmel A, Samuel U, Zanen W, Opelz G, </w:t>
      </w:r>
      <w:r w:rsidRPr="00E40F70">
        <w:rPr>
          <w:rFonts w:ascii="Arial" w:hAnsi="Arial" w:cs="Arial"/>
          <w:b/>
          <w:sz w:val="22"/>
          <w:szCs w:val="22"/>
          <w:lang w:val="en-US"/>
        </w:rPr>
        <w:t>Süsal C</w:t>
      </w:r>
      <w:r w:rsidRPr="00E40F70">
        <w:rPr>
          <w:rFonts w:ascii="Arial" w:hAnsi="Arial" w:cs="Arial"/>
          <w:sz w:val="22"/>
          <w:szCs w:val="22"/>
          <w:lang w:val="en-US"/>
        </w:rPr>
        <w:t xml:space="preserve">, Döhler B, Plotnicki L, </w:t>
      </w:r>
      <w:r w:rsidRPr="00E40F70">
        <w:rPr>
          <w:rFonts w:ascii="Arial" w:hAnsi="Arial" w:cs="Arial"/>
          <w:bCs/>
          <w:sz w:val="22"/>
          <w:szCs w:val="22"/>
          <w:lang w:val="en-US"/>
        </w:rPr>
        <w:t>Kohl</w:t>
      </w:r>
      <w:r w:rsidRPr="00E40F70">
        <w:rPr>
          <w:rFonts w:ascii="Arial" w:hAnsi="Arial" w:cs="Arial"/>
          <w:sz w:val="22"/>
          <w:szCs w:val="22"/>
          <w:lang w:val="en-US"/>
        </w:rPr>
        <w:t xml:space="preserve"> CD, Knaup P, Tönshoff B. </w:t>
      </w:r>
      <w:r w:rsidRPr="00E40F70">
        <w:rPr>
          <w:rFonts w:ascii="Arial" w:hAnsi="Arial" w:cs="Arial"/>
          <w:bCs/>
          <w:sz w:val="22"/>
          <w:szCs w:val="22"/>
          <w:lang w:val="en-US"/>
        </w:rPr>
        <w:t xml:space="preserve">Integrating data from multiple sources for data completeness in a web-based registry for pediatric renal transplantation - the CERTAIN </w:t>
      </w:r>
      <w:r w:rsidRPr="00E40F70">
        <w:rPr>
          <w:rFonts w:ascii="Arial" w:hAnsi="Arial" w:cs="Arial"/>
          <w:sz w:val="22"/>
          <w:szCs w:val="22"/>
          <w:lang w:val="en-US"/>
        </w:rPr>
        <w:t>Registry</w:t>
      </w:r>
      <w:r w:rsidRPr="00E40F70">
        <w:rPr>
          <w:rFonts w:ascii="Arial" w:hAnsi="Arial" w:cs="Arial"/>
          <w:bCs/>
          <w:sz w:val="22"/>
          <w:szCs w:val="22"/>
          <w:lang w:val="en-US"/>
        </w:rPr>
        <w:t>.</w:t>
      </w:r>
      <w:r w:rsidRPr="00E40F70">
        <w:rPr>
          <w:rFonts w:ascii="Arial" w:hAnsi="Arial" w:cs="Arial"/>
          <w:sz w:val="22"/>
          <w:szCs w:val="22"/>
          <w:lang w:val="en-US"/>
        </w:rPr>
        <w:t xml:space="preserve"> Stud Health Technol Inform 216:1049, 2015 </w:t>
      </w:r>
    </w:p>
    <w:p w14:paraId="09559414"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Kälble F, Schaier M, Schäfer S, </w:t>
      </w:r>
      <w:r w:rsidRPr="00E40F70">
        <w:rPr>
          <w:rFonts w:ascii="Arial" w:hAnsi="Arial" w:cs="Arial"/>
          <w:b/>
          <w:bCs/>
          <w:sz w:val="22"/>
          <w:szCs w:val="22"/>
          <w:lang w:val="en-US"/>
        </w:rPr>
        <w:t>Süsal C</w:t>
      </w:r>
      <w:r w:rsidRPr="00E40F70">
        <w:rPr>
          <w:rFonts w:ascii="Arial" w:hAnsi="Arial" w:cs="Arial"/>
          <w:sz w:val="22"/>
          <w:szCs w:val="22"/>
          <w:lang w:val="en-US"/>
        </w:rPr>
        <w:t xml:space="preserve">, Zeier M, Sommerer C, Morath C. An update on chemical pharmacotherapy options for the prevention of kidney transplant rejection with a focus on costimulation blockade. Expert Opin Pharmacother 18:799-807, 2017 </w:t>
      </w:r>
    </w:p>
    <w:p w14:paraId="331E7B2A"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Zeier M, Döhler B, Opelz G, </w:t>
      </w:r>
      <w:r w:rsidRPr="00E40F70">
        <w:rPr>
          <w:rFonts w:ascii="Arial" w:hAnsi="Arial" w:cs="Arial"/>
          <w:b/>
          <w:bCs/>
          <w:sz w:val="22"/>
          <w:szCs w:val="22"/>
          <w:lang w:val="en-US"/>
        </w:rPr>
        <w:t>Süsal C.</w:t>
      </w:r>
      <w:r w:rsidRPr="00E40F70">
        <w:rPr>
          <w:rFonts w:ascii="Arial" w:hAnsi="Arial" w:cs="Arial"/>
          <w:sz w:val="22"/>
          <w:szCs w:val="22"/>
          <w:lang w:val="en-US"/>
        </w:rPr>
        <w:t xml:space="preserve"> ABO-Incompatible kidney transplantation.</w:t>
      </w:r>
      <w:r w:rsidRPr="00E40F70">
        <w:rPr>
          <w:rFonts w:ascii="Arial" w:hAnsi="Arial" w:cs="Arial"/>
          <w:b/>
          <w:bCs/>
          <w:sz w:val="22"/>
          <w:szCs w:val="22"/>
          <w:lang w:val="en-US"/>
        </w:rPr>
        <w:t xml:space="preserve"> </w:t>
      </w:r>
      <w:r w:rsidRPr="00E40F70">
        <w:rPr>
          <w:rFonts w:ascii="Arial" w:hAnsi="Arial" w:cs="Arial"/>
          <w:sz w:val="22"/>
          <w:szCs w:val="22"/>
          <w:lang w:val="en-US"/>
        </w:rPr>
        <w:t xml:space="preserve">Front Immunol 8:234, 2017 </w:t>
      </w:r>
    </w:p>
    <w:p w14:paraId="3367C111"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bCs/>
          <w:sz w:val="22"/>
          <w:szCs w:val="22"/>
          <w:lang w:val="en-US"/>
        </w:rPr>
        <w:t>Süsal C</w:t>
      </w:r>
      <w:r w:rsidRPr="00E40F70">
        <w:rPr>
          <w:rFonts w:ascii="Arial" w:hAnsi="Arial" w:cs="Arial"/>
          <w:sz w:val="22"/>
          <w:szCs w:val="22"/>
          <w:lang w:val="en-US"/>
        </w:rPr>
        <w:t>, Fichtner A, Tönshoff B, Mehrabi A, Zeier M, Morath C. Clinical relevance of HLA antibodies in kidney transplantation: recent data from the Heidelberg transplant center and the collaborative transplant study.</w:t>
      </w:r>
      <w:r w:rsidRPr="00E40F70">
        <w:rPr>
          <w:rFonts w:ascii="Arial" w:hAnsi="Arial" w:cs="Arial"/>
          <w:b/>
          <w:bCs/>
          <w:sz w:val="22"/>
          <w:szCs w:val="22"/>
          <w:lang w:val="en-US"/>
        </w:rPr>
        <w:t xml:space="preserve"> </w:t>
      </w:r>
      <w:r w:rsidRPr="00E40F70">
        <w:rPr>
          <w:rFonts w:ascii="Arial" w:hAnsi="Arial" w:cs="Arial"/>
          <w:sz w:val="22"/>
          <w:szCs w:val="22"/>
          <w:lang w:val="en-US"/>
        </w:rPr>
        <w:t xml:space="preserve">J Immunol Res 2017 </w:t>
      </w:r>
    </w:p>
    <w:p w14:paraId="2E66759B"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bCs/>
          <w:sz w:val="22"/>
          <w:szCs w:val="22"/>
          <w:lang w:val="en-US"/>
        </w:rPr>
      </w:pPr>
      <w:r w:rsidRPr="00E40F70">
        <w:rPr>
          <w:rFonts w:ascii="Arial" w:hAnsi="Arial" w:cs="Arial"/>
          <w:sz w:val="22"/>
          <w:szCs w:val="22"/>
          <w:lang w:val="en-US"/>
        </w:rPr>
        <w:t>Janszky N,</w:t>
      </w:r>
      <w:r w:rsidRPr="00E40F70">
        <w:rPr>
          <w:rFonts w:ascii="Arial" w:hAnsi="Arial" w:cs="Arial"/>
          <w:b/>
          <w:bCs/>
          <w:sz w:val="22"/>
          <w:szCs w:val="22"/>
          <w:lang w:val="en-US"/>
        </w:rPr>
        <w:t xml:space="preserve"> Süsal C. </w:t>
      </w:r>
      <w:r w:rsidRPr="00E40F70">
        <w:rPr>
          <w:rStyle w:val="Strong"/>
          <w:rFonts w:ascii="Arial" w:hAnsi="Arial" w:cs="Arial"/>
          <w:b w:val="0"/>
          <w:bCs w:val="0"/>
          <w:sz w:val="22"/>
          <w:szCs w:val="22"/>
          <w:lang w:val="en-US"/>
        </w:rPr>
        <w:t>Circulating and urinary microRNAs as possible biomarkers in kidney transplantation.</w:t>
      </w:r>
      <w:r w:rsidRPr="00E40F70">
        <w:rPr>
          <w:rFonts w:ascii="Arial" w:hAnsi="Arial" w:cs="Arial"/>
          <w:b/>
          <w:bCs/>
          <w:sz w:val="22"/>
          <w:szCs w:val="22"/>
          <w:lang w:val="en-US"/>
        </w:rPr>
        <w:t xml:space="preserve"> </w:t>
      </w:r>
      <w:r w:rsidRPr="00E40F70">
        <w:rPr>
          <w:rFonts w:ascii="Arial" w:hAnsi="Arial" w:cs="Arial"/>
          <w:sz w:val="22"/>
          <w:szCs w:val="22"/>
          <w:lang w:val="en-US"/>
        </w:rPr>
        <w:t>Transplant Rev (Orlando).</w:t>
      </w:r>
      <w:r w:rsidRPr="00E40F70">
        <w:rPr>
          <w:rFonts w:ascii="Arial" w:hAnsi="Arial" w:cs="Arial"/>
          <w:b/>
          <w:bCs/>
          <w:sz w:val="22"/>
          <w:szCs w:val="22"/>
          <w:lang w:val="en-US"/>
        </w:rPr>
        <w:t xml:space="preserve"> </w:t>
      </w:r>
      <w:r w:rsidRPr="00E40F70">
        <w:rPr>
          <w:rFonts w:ascii="Arial" w:hAnsi="Arial" w:cs="Arial"/>
          <w:sz w:val="22"/>
          <w:szCs w:val="22"/>
          <w:lang w:val="en-US"/>
        </w:rPr>
        <w:t xml:space="preserve">32:110-118, 2018 </w:t>
      </w:r>
    </w:p>
    <w:p w14:paraId="2BBA7947"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Hackl C, Schmidt KM, </w:t>
      </w:r>
      <w:r w:rsidRPr="00E40F70">
        <w:rPr>
          <w:rFonts w:ascii="Arial" w:hAnsi="Arial" w:cs="Arial"/>
          <w:b/>
          <w:bCs/>
          <w:sz w:val="22"/>
          <w:szCs w:val="22"/>
          <w:lang w:val="en-US"/>
        </w:rPr>
        <w:t>Süsal C</w:t>
      </w:r>
      <w:r w:rsidRPr="00E40F70">
        <w:rPr>
          <w:rFonts w:ascii="Arial" w:hAnsi="Arial" w:cs="Arial"/>
          <w:sz w:val="22"/>
          <w:szCs w:val="22"/>
          <w:lang w:val="en-US"/>
        </w:rPr>
        <w:t xml:space="preserve">, Döhler B, Zidek M, Schlitt HJ. </w:t>
      </w:r>
      <w:r w:rsidRPr="00E40F70">
        <w:rPr>
          <w:rStyle w:val="Strong"/>
          <w:rFonts w:ascii="Arial" w:hAnsi="Arial" w:cs="Arial"/>
          <w:b w:val="0"/>
          <w:bCs w:val="0"/>
          <w:sz w:val="22"/>
          <w:szCs w:val="22"/>
          <w:lang w:val="en-US"/>
        </w:rPr>
        <w:t>Split liver transplantation: Current developments.</w:t>
      </w:r>
      <w:r w:rsidRPr="00E40F70">
        <w:rPr>
          <w:rStyle w:val="Strong"/>
          <w:rFonts w:ascii="Arial" w:hAnsi="Arial" w:cs="Arial"/>
          <w:sz w:val="22"/>
          <w:szCs w:val="22"/>
          <w:lang w:val="en-US"/>
        </w:rPr>
        <w:t xml:space="preserve"> </w:t>
      </w:r>
      <w:r w:rsidRPr="00E40F70">
        <w:rPr>
          <w:rFonts w:ascii="Arial" w:hAnsi="Arial" w:cs="Arial"/>
          <w:sz w:val="22"/>
          <w:szCs w:val="22"/>
          <w:lang w:val="en-US"/>
        </w:rPr>
        <w:t xml:space="preserve">World J Gastroenterol 24:5312-5321, 2018 </w:t>
      </w:r>
    </w:p>
    <w:p w14:paraId="2BCB549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rPr>
      </w:pPr>
      <w:r w:rsidRPr="00E40F70">
        <w:rPr>
          <w:rFonts w:ascii="Arial" w:hAnsi="Arial" w:cs="Arial"/>
          <w:sz w:val="22"/>
          <w:szCs w:val="22"/>
          <w:lang w:val="en-US"/>
        </w:rPr>
        <w:t xml:space="preserve">Noble J, Jouve T, Malvezzi P, </w:t>
      </w:r>
      <w:r w:rsidRPr="00E40F70">
        <w:rPr>
          <w:rFonts w:ascii="Arial" w:hAnsi="Arial" w:cs="Arial"/>
          <w:b/>
          <w:sz w:val="22"/>
          <w:szCs w:val="22"/>
          <w:lang w:val="en-US"/>
        </w:rPr>
        <w:t>Süsal C</w:t>
      </w:r>
      <w:r w:rsidRPr="00E40F70">
        <w:rPr>
          <w:rFonts w:ascii="Arial" w:hAnsi="Arial" w:cs="Arial"/>
          <w:sz w:val="22"/>
          <w:szCs w:val="22"/>
          <w:lang w:val="en-US"/>
        </w:rPr>
        <w:t xml:space="preserve">, Rostaing L. Transplantation of Marginal Organs: Immunological Aspects and Therapeutic Perspectives in Kidney Transplantation. Front Immunol 10:3142, 2020 </w:t>
      </w:r>
    </w:p>
    <w:p w14:paraId="3278D662" w14:textId="77777777" w:rsidR="00616F9A" w:rsidRPr="00D87775"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Kumru Sahin G, Unterrainer C, </w:t>
      </w:r>
      <w:r w:rsidRPr="00365172">
        <w:rPr>
          <w:rFonts w:ascii="Arial" w:hAnsi="Arial" w:cs="Arial"/>
          <w:b/>
          <w:sz w:val="22"/>
          <w:szCs w:val="22"/>
          <w:lang w:val="en-US"/>
        </w:rPr>
        <w:t>Süsal C</w:t>
      </w:r>
      <w:r w:rsidRPr="00E40F70">
        <w:rPr>
          <w:rFonts w:ascii="Arial" w:hAnsi="Arial" w:cs="Arial"/>
          <w:sz w:val="22"/>
          <w:szCs w:val="22"/>
          <w:lang w:val="en-US"/>
        </w:rPr>
        <w:t xml:space="preserve">. Critical evaluation of a possible role of HLA epitope matching in kidney transplantation. Transplant Rev (Orlando) 34:100533, 2020 </w:t>
      </w:r>
    </w:p>
    <w:p w14:paraId="60C549E9" w14:textId="77777777" w:rsidR="00362A28" w:rsidRPr="00D027C5" w:rsidRDefault="00616F9A" w:rsidP="00362A28">
      <w:pPr>
        <w:numPr>
          <w:ilvl w:val="0"/>
          <w:numId w:val="1"/>
        </w:numPr>
        <w:shd w:val="clear" w:color="auto" w:fill="FFFFFF"/>
        <w:tabs>
          <w:tab w:val="left" w:pos="0"/>
        </w:tabs>
        <w:spacing w:before="120" w:line="320" w:lineRule="exact"/>
        <w:rPr>
          <w:rFonts w:ascii="Arial" w:hAnsi="Arial" w:cs="Arial"/>
          <w:sz w:val="22"/>
          <w:szCs w:val="22"/>
          <w:lang w:val="en-US"/>
        </w:rPr>
      </w:pPr>
      <w:r w:rsidRPr="00D87775">
        <w:rPr>
          <w:rFonts w:ascii="Arial" w:hAnsi="Arial" w:cs="Arial"/>
          <w:sz w:val="22"/>
          <w:szCs w:val="22"/>
          <w:lang w:val="en-US"/>
        </w:rPr>
        <w:lastRenderedPageBreak/>
        <w:t xml:space="preserve">Unterrainer C, Döhler B, Niemann M, Lachmann N, </w:t>
      </w:r>
      <w:r w:rsidRPr="00D87775">
        <w:rPr>
          <w:rFonts w:ascii="Arial" w:hAnsi="Arial" w:cs="Arial"/>
          <w:b/>
          <w:sz w:val="22"/>
          <w:szCs w:val="22"/>
          <w:lang w:val="en-US"/>
        </w:rPr>
        <w:t>Süsal C.</w:t>
      </w:r>
      <w:r>
        <w:rPr>
          <w:rFonts w:ascii="Arial" w:hAnsi="Arial" w:cs="Arial"/>
          <w:sz w:val="22"/>
          <w:szCs w:val="22"/>
          <w:lang w:val="en-US"/>
        </w:rPr>
        <w:t xml:space="preserve"> Can PIRCHE-II epitope matching outmatch traditional HLA m</w:t>
      </w:r>
      <w:r w:rsidRPr="00D87775">
        <w:rPr>
          <w:rFonts w:ascii="Arial" w:hAnsi="Arial" w:cs="Arial"/>
          <w:sz w:val="22"/>
          <w:szCs w:val="22"/>
          <w:lang w:val="en-US"/>
        </w:rPr>
        <w:t>atching?</w:t>
      </w:r>
      <w:r>
        <w:rPr>
          <w:rFonts w:ascii="Arial" w:hAnsi="Arial" w:cs="Arial"/>
          <w:sz w:val="22"/>
          <w:szCs w:val="22"/>
          <w:lang w:val="en-US"/>
        </w:rPr>
        <w:t xml:space="preserve"> Front Immunol </w:t>
      </w:r>
      <w:r w:rsidR="00362A28" w:rsidRPr="00D027C5">
        <w:rPr>
          <w:rFonts w:ascii="Arial" w:hAnsi="Arial" w:cs="Arial"/>
          <w:sz w:val="22"/>
          <w:szCs w:val="22"/>
          <w:lang w:val="en-US"/>
        </w:rPr>
        <w:t>12:631246</w:t>
      </w:r>
      <w:r w:rsidR="00362A28">
        <w:rPr>
          <w:rFonts w:ascii="Arial" w:hAnsi="Arial" w:cs="Arial"/>
          <w:sz w:val="22"/>
          <w:szCs w:val="22"/>
          <w:lang w:val="en-US"/>
        </w:rPr>
        <w:t>, 2021</w:t>
      </w:r>
    </w:p>
    <w:p w14:paraId="0BB16775" w14:textId="77777777" w:rsidR="00616F9A" w:rsidRPr="00E40F70" w:rsidRDefault="00616F9A" w:rsidP="00616F9A">
      <w:pPr>
        <w:tabs>
          <w:tab w:val="left" w:pos="567"/>
        </w:tabs>
        <w:spacing w:before="120" w:line="320" w:lineRule="exact"/>
        <w:ind w:left="567" w:hanging="567"/>
        <w:rPr>
          <w:rFonts w:ascii="Arial" w:hAnsi="Arial" w:cs="Arial"/>
          <w:b/>
          <w:sz w:val="22"/>
          <w:szCs w:val="22"/>
          <w:lang w:val="en-US"/>
        </w:rPr>
      </w:pPr>
      <w:r w:rsidRPr="00E40F70">
        <w:rPr>
          <w:rFonts w:ascii="Arial" w:hAnsi="Arial" w:cs="Arial"/>
          <w:b/>
          <w:sz w:val="22"/>
          <w:szCs w:val="22"/>
          <w:lang w:val="en-US"/>
        </w:rPr>
        <w:t>Viewpoint Articles</w:t>
      </w:r>
    </w:p>
    <w:p w14:paraId="2FDAB7F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eastAsia="en-US"/>
        </w:rPr>
      </w:pPr>
      <w:r w:rsidRPr="00E40F70">
        <w:rPr>
          <w:rFonts w:ascii="Arial" w:hAnsi="Arial" w:cs="Arial"/>
          <w:b/>
          <w:sz w:val="22"/>
          <w:szCs w:val="22"/>
          <w:lang w:val="en-US"/>
        </w:rPr>
        <w:t>Süsal C</w:t>
      </w:r>
      <w:r w:rsidRPr="00E40F70">
        <w:rPr>
          <w:rFonts w:ascii="Arial" w:hAnsi="Arial" w:cs="Arial"/>
          <w:sz w:val="22"/>
          <w:szCs w:val="22"/>
          <w:lang w:val="en-US"/>
        </w:rPr>
        <w:t>, Daniel V, Opelz G. Does AIDS emerge from a disequilibrium between two complementary groups of molecules that mimic MHC? Immunol Today 17:114-119, 1996</w:t>
      </w:r>
    </w:p>
    <w:p w14:paraId="74D13F7F" w14:textId="77777777" w:rsidR="00616F9A" w:rsidRPr="00E40F70" w:rsidRDefault="00616F9A" w:rsidP="00616F9A">
      <w:pPr>
        <w:numPr>
          <w:ilvl w:val="0"/>
          <w:numId w:val="1"/>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Mora</w:t>
      </w:r>
      <w:r w:rsidRPr="00E40F70">
        <w:rPr>
          <w:rFonts w:ascii="Arial" w:hAnsi="Arial" w:cs="Arial"/>
          <w:color w:val="000000"/>
          <w:sz w:val="22"/>
          <w:szCs w:val="22"/>
          <w:lang w:val="en-US"/>
        </w:rPr>
        <w:t xml:space="preserve">th C, Zeier M, </w:t>
      </w:r>
      <w:r w:rsidRPr="00E40F70">
        <w:rPr>
          <w:rFonts w:ascii="Arial" w:hAnsi="Arial" w:cs="Arial"/>
          <w:b/>
          <w:color w:val="000000"/>
          <w:sz w:val="22"/>
          <w:szCs w:val="22"/>
          <w:lang w:val="en-US"/>
        </w:rPr>
        <w:t>Süsal C</w:t>
      </w:r>
      <w:r w:rsidRPr="00E40F70">
        <w:rPr>
          <w:rFonts w:ascii="Arial" w:hAnsi="Arial" w:cs="Arial"/>
          <w:color w:val="000000"/>
          <w:sz w:val="22"/>
          <w:szCs w:val="22"/>
          <w:lang w:val="en-US"/>
        </w:rPr>
        <w:t xml:space="preserve">. </w:t>
      </w:r>
      <w:hyperlink r:id="rId56" w:history="1">
        <w:r w:rsidRPr="00E40F70">
          <w:rPr>
            <w:rStyle w:val="Hyperlink"/>
            <w:rFonts w:ascii="Arial" w:hAnsi="Arial" w:cs="Arial"/>
            <w:color w:val="000000"/>
            <w:sz w:val="22"/>
            <w:szCs w:val="22"/>
            <w:u w:val="none"/>
            <w:lang w:val="en-US"/>
          </w:rPr>
          <w:t>Desensitization of HLA-incompatible kidney recipients.</w:t>
        </w:r>
      </w:hyperlink>
      <w:r w:rsidRPr="00E40F70">
        <w:rPr>
          <w:rFonts w:ascii="Arial" w:hAnsi="Arial" w:cs="Arial"/>
          <w:color w:val="000000"/>
          <w:sz w:val="22"/>
          <w:szCs w:val="22"/>
          <w:lang w:val="en-US"/>
        </w:rPr>
        <w:t xml:space="preserve"> </w:t>
      </w:r>
      <w:r w:rsidRPr="00E40F70">
        <w:rPr>
          <w:rStyle w:val="jrnl"/>
          <w:rFonts w:ascii="Arial" w:hAnsi="Arial" w:cs="Arial"/>
          <w:color w:val="000000"/>
          <w:sz w:val="22"/>
          <w:szCs w:val="22"/>
          <w:lang w:val="en-US"/>
        </w:rPr>
        <w:t>N Engl J Med</w:t>
      </w:r>
      <w:r w:rsidRPr="00E40F70">
        <w:rPr>
          <w:rFonts w:ascii="Arial" w:hAnsi="Arial" w:cs="Arial"/>
          <w:color w:val="000000"/>
          <w:sz w:val="22"/>
          <w:szCs w:val="22"/>
          <w:lang w:val="en-US"/>
        </w:rPr>
        <w:t xml:space="preserve"> 365:1644, 2011</w:t>
      </w:r>
    </w:p>
    <w:p w14:paraId="1A7DDC22" w14:textId="77777777" w:rsidR="00616F9A" w:rsidRPr="00E40F70" w:rsidRDefault="00616F9A" w:rsidP="00616F9A">
      <w:pPr>
        <w:numPr>
          <w:ilvl w:val="0"/>
          <w:numId w:val="1"/>
        </w:numPr>
        <w:shd w:val="clear" w:color="auto" w:fill="FFFFFF"/>
        <w:tabs>
          <w:tab w:val="left" w:pos="0"/>
        </w:tabs>
        <w:spacing w:before="120" w:line="320" w:lineRule="exact"/>
        <w:rPr>
          <w:rStyle w:val="st1"/>
          <w:rFonts w:ascii="Arial" w:hAnsi="Arial" w:cs="Arial"/>
          <w:b/>
          <w:sz w:val="22"/>
          <w:szCs w:val="22"/>
          <w:lang w:val="en-US" w:eastAsia="en-US"/>
        </w:rPr>
      </w:pPr>
      <w:r w:rsidRPr="00E40F70">
        <w:rPr>
          <w:rFonts w:ascii="Arial" w:hAnsi="Arial" w:cs="Arial"/>
          <w:sz w:val="22"/>
          <w:szCs w:val="22"/>
          <w:lang w:val="en-US" w:eastAsia="en-US"/>
        </w:rPr>
        <w:t xml:space="preserve">Morath C, </w:t>
      </w: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w:t>
      </w:r>
      <w:hyperlink r:id="rId57" w:history="1">
        <w:r w:rsidRPr="00E40F70">
          <w:rPr>
            <w:rFonts w:ascii="Arial" w:hAnsi="Arial" w:cs="Arial"/>
            <w:sz w:val="22"/>
            <w:szCs w:val="22"/>
            <w:lang w:val="en-US" w:eastAsia="en-US"/>
          </w:rPr>
          <w:t>Transplantation: Rituximab induction only for sensitized kidney recipients?</w:t>
        </w:r>
      </w:hyperlink>
      <w:r w:rsidRPr="00E40F70">
        <w:rPr>
          <w:rFonts w:ascii="Arial" w:hAnsi="Arial" w:cs="Arial"/>
          <w:sz w:val="22"/>
          <w:szCs w:val="22"/>
          <w:lang w:val="en-US" w:eastAsia="en-US"/>
        </w:rPr>
        <w:t xml:space="preserve"> Nat Rev Nephrol 9:703-705, 2013 </w:t>
      </w:r>
    </w:p>
    <w:p w14:paraId="6972B487"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b/>
          <w:sz w:val="22"/>
          <w:szCs w:val="22"/>
          <w:lang w:val="en-US" w:eastAsia="en-US"/>
        </w:rPr>
      </w:pPr>
      <w:r w:rsidRPr="00E40F70">
        <w:rPr>
          <w:rFonts w:ascii="Arial" w:hAnsi="Arial" w:cs="Arial"/>
          <w:sz w:val="22"/>
          <w:szCs w:val="22"/>
          <w:lang w:val="en-US" w:eastAsia="en-US"/>
        </w:rPr>
        <w:t xml:space="preserve">Morath C, Zschiedrich S, Speer C, Zeier M, Döhler B, Opelz G, </w:t>
      </w:r>
      <w:r w:rsidRPr="00E40F70">
        <w:rPr>
          <w:rFonts w:ascii="Arial" w:hAnsi="Arial" w:cs="Arial"/>
          <w:b/>
          <w:sz w:val="22"/>
          <w:szCs w:val="22"/>
          <w:lang w:val="en-US" w:eastAsia="en-US"/>
        </w:rPr>
        <w:t>Süsal</w:t>
      </w:r>
      <w:r w:rsidRPr="00E40F70">
        <w:rPr>
          <w:rFonts w:ascii="Arial" w:hAnsi="Arial" w:cs="Arial"/>
          <w:sz w:val="22"/>
          <w:szCs w:val="22"/>
          <w:lang w:val="en-US" w:eastAsia="en-US"/>
        </w:rPr>
        <w:t xml:space="preserve"> </w:t>
      </w:r>
      <w:r w:rsidRPr="00E40F70">
        <w:rPr>
          <w:rFonts w:ascii="Arial" w:hAnsi="Arial" w:cs="Arial"/>
          <w:b/>
          <w:sz w:val="22"/>
          <w:szCs w:val="22"/>
          <w:lang w:val="en-US" w:eastAsia="en-US"/>
        </w:rPr>
        <w:t>C</w:t>
      </w:r>
      <w:r w:rsidRPr="00E40F70">
        <w:rPr>
          <w:rFonts w:ascii="Arial" w:hAnsi="Arial" w:cs="Arial"/>
          <w:sz w:val="22"/>
          <w:szCs w:val="22"/>
          <w:lang w:val="en-US" w:eastAsia="en-US"/>
        </w:rPr>
        <w:t xml:space="preserve">. Clinical outcomes after ABO-incompatible renal transplantation. Lancet 394:1989, 2019 </w:t>
      </w:r>
      <w:r w:rsidR="00DA15CA">
        <w:rPr>
          <w:rFonts w:ascii="Arial" w:hAnsi="Arial" w:cs="Arial"/>
          <w:sz w:val="22"/>
          <w:szCs w:val="22"/>
          <w:lang w:val="en-US" w:eastAsia="en-US"/>
        </w:rPr>
        <w:t>(</w:t>
      </w:r>
      <w:r w:rsidRPr="00E40F70">
        <w:rPr>
          <w:rFonts w:ascii="Arial" w:hAnsi="Arial" w:cs="Arial"/>
          <w:sz w:val="22"/>
          <w:szCs w:val="22"/>
          <w:lang w:val="en-US" w:eastAsia="en-US"/>
        </w:rPr>
        <w:t>Letter</w:t>
      </w:r>
      <w:r w:rsidR="00DA15CA">
        <w:rPr>
          <w:rFonts w:ascii="Arial" w:hAnsi="Arial" w:cs="Arial"/>
          <w:sz w:val="22"/>
          <w:szCs w:val="22"/>
          <w:lang w:val="en-US" w:eastAsia="en-US"/>
        </w:rPr>
        <w:t>)</w:t>
      </w:r>
      <w:r w:rsidRPr="00E40F70">
        <w:rPr>
          <w:rFonts w:ascii="Arial" w:hAnsi="Arial" w:cs="Arial"/>
          <w:sz w:val="22"/>
          <w:szCs w:val="22"/>
          <w:lang w:val="en-US" w:eastAsia="en-US"/>
        </w:rPr>
        <w:t xml:space="preserve"> </w:t>
      </w:r>
    </w:p>
    <w:p w14:paraId="70849760" w14:textId="77777777" w:rsidR="00616F9A" w:rsidRPr="00E40F70" w:rsidRDefault="00616F9A" w:rsidP="00616F9A">
      <w:pPr>
        <w:tabs>
          <w:tab w:val="left" w:pos="567"/>
        </w:tabs>
        <w:spacing w:before="120" w:line="320" w:lineRule="exact"/>
        <w:ind w:left="567" w:hanging="567"/>
        <w:rPr>
          <w:rStyle w:val="ti2"/>
          <w:rFonts w:ascii="Arial" w:hAnsi="Arial" w:cs="Arial"/>
          <w:lang w:val="en-US"/>
        </w:rPr>
      </w:pPr>
      <w:r w:rsidRPr="00E40F70">
        <w:rPr>
          <w:rStyle w:val="ti2"/>
          <w:rFonts w:ascii="Arial" w:hAnsi="Arial" w:cs="Arial"/>
          <w:b/>
          <w:lang w:val="en-US"/>
        </w:rPr>
        <w:t>Editorials</w:t>
      </w:r>
    </w:p>
    <w:p w14:paraId="29B03324" w14:textId="77777777" w:rsidR="00616F9A" w:rsidRPr="00E40F70" w:rsidRDefault="00616F9A" w:rsidP="00616F9A">
      <w:pPr>
        <w:pStyle w:val="BodyText"/>
        <w:numPr>
          <w:ilvl w:val="0"/>
          <w:numId w:val="1"/>
        </w:numPr>
        <w:shd w:val="clear" w:color="auto" w:fill="FFFFFF"/>
        <w:tabs>
          <w:tab w:val="left" w:pos="0"/>
        </w:tabs>
        <w:spacing w:line="320" w:lineRule="exact"/>
        <w:rPr>
          <w:rFonts w:ascii="Arial" w:hAnsi="Arial" w:cs="Arial"/>
          <w:sz w:val="22"/>
          <w:szCs w:val="22"/>
          <w:lang w:val="en-US" w:eastAsia="en-US"/>
        </w:rPr>
      </w:pPr>
      <w:r w:rsidRPr="00E40F70">
        <w:rPr>
          <w:rFonts w:ascii="Arial" w:hAnsi="Arial" w:cs="Arial"/>
          <w:sz w:val="22"/>
          <w:szCs w:val="22"/>
          <w:lang w:val="en-US"/>
        </w:rPr>
        <w:t xml:space="preserve">Opelz G, </w:t>
      </w:r>
      <w:r w:rsidRPr="00E40F70">
        <w:rPr>
          <w:rFonts w:ascii="Arial" w:hAnsi="Arial" w:cs="Arial"/>
          <w:b/>
          <w:sz w:val="22"/>
          <w:szCs w:val="22"/>
          <w:lang w:val="en-US"/>
        </w:rPr>
        <w:t>Süsal C</w:t>
      </w:r>
      <w:r w:rsidRPr="00E40F70">
        <w:rPr>
          <w:rFonts w:ascii="Arial" w:hAnsi="Arial" w:cs="Arial"/>
          <w:sz w:val="22"/>
          <w:szCs w:val="22"/>
          <w:lang w:val="en-US"/>
        </w:rPr>
        <w:t xml:space="preserve">. A positive crossmatch and treatment with IvIg. </w:t>
      </w:r>
      <w:hyperlink r:id="rId58" w:history="1">
        <w:r w:rsidRPr="00E40F70">
          <w:rPr>
            <w:rStyle w:val="Hyperlink"/>
            <w:rFonts w:ascii="Arial" w:hAnsi="Arial" w:cs="Arial"/>
            <w:color w:val="auto"/>
            <w:sz w:val="22"/>
            <w:szCs w:val="22"/>
            <w:u w:val="none"/>
            <w:lang w:val="en-US"/>
          </w:rPr>
          <w:t>Am J Transplant</w:t>
        </w:r>
      </w:hyperlink>
      <w:r w:rsidRPr="00E40F70">
        <w:rPr>
          <w:rFonts w:ascii="Arial" w:hAnsi="Arial" w:cs="Arial"/>
          <w:sz w:val="22"/>
          <w:szCs w:val="22"/>
          <w:lang w:val="en-US"/>
        </w:rPr>
        <w:t xml:space="preserve"> 5:2601-2602, 2005 </w:t>
      </w:r>
    </w:p>
    <w:p w14:paraId="67A6A9E4" w14:textId="77777777" w:rsidR="00616F9A" w:rsidRPr="00E40F70" w:rsidRDefault="00616F9A" w:rsidP="00616F9A">
      <w:pPr>
        <w:pStyle w:val="BodyText"/>
        <w:numPr>
          <w:ilvl w:val="0"/>
          <w:numId w:val="1"/>
        </w:numPr>
        <w:shd w:val="clear" w:color="auto" w:fill="FFFFFF"/>
        <w:tabs>
          <w:tab w:val="left" w:pos="0"/>
        </w:tabs>
        <w:spacing w:line="320" w:lineRule="exact"/>
        <w:rPr>
          <w:rFonts w:ascii="Arial" w:hAnsi="Arial" w:cs="Arial"/>
          <w:b/>
          <w:sz w:val="22"/>
          <w:szCs w:val="22"/>
          <w:lang w:val="en-US" w:eastAsia="en-US"/>
        </w:rPr>
      </w:pPr>
      <w:r w:rsidRPr="00E40F70">
        <w:rPr>
          <w:rFonts w:ascii="Arial" w:hAnsi="Arial" w:cs="Arial"/>
          <w:b/>
          <w:sz w:val="22"/>
          <w:szCs w:val="22"/>
          <w:lang w:val="en-US" w:eastAsia="en-US"/>
        </w:rPr>
        <w:t>Süsal C.</w:t>
      </w:r>
      <w:r w:rsidRPr="00E40F70">
        <w:rPr>
          <w:rFonts w:ascii="Arial" w:hAnsi="Arial" w:cs="Arial"/>
          <w:sz w:val="22"/>
          <w:szCs w:val="22"/>
          <w:lang w:val="en-US" w:eastAsia="en-US"/>
        </w:rPr>
        <w:t xml:space="preserve"> </w:t>
      </w:r>
      <w:hyperlink r:id="rId59" w:history="1">
        <w:r w:rsidRPr="00E40F70">
          <w:rPr>
            <w:rFonts w:ascii="Arial" w:hAnsi="Arial" w:cs="Arial"/>
            <w:sz w:val="22"/>
            <w:szCs w:val="22"/>
            <w:lang w:val="en-US" w:eastAsia="en-US"/>
          </w:rPr>
          <w:t>Increasing relevance of histocompatibility testing in organ transplantation.</w:t>
        </w:r>
      </w:hyperlink>
      <w:r w:rsidRPr="00E40F70">
        <w:rPr>
          <w:rFonts w:ascii="Arial" w:hAnsi="Arial" w:cs="Arial"/>
          <w:sz w:val="22"/>
          <w:szCs w:val="22"/>
          <w:lang w:val="en-US" w:eastAsia="en-US"/>
        </w:rPr>
        <w:t xml:space="preserve"> Curr Opin Organ Transplant 18:436-467, 2013 </w:t>
      </w:r>
    </w:p>
    <w:p w14:paraId="7FD08A68"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eastAsia="en-US"/>
        </w:rPr>
        <w:t xml:space="preserve">Süsal C, </w:t>
      </w:r>
      <w:r w:rsidRPr="00E40F70">
        <w:rPr>
          <w:rFonts w:ascii="Arial" w:hAnsi="Arial" w:cs="Arial"/>
          <w:sz w:val="22"/>
          <w:szCs w:val="22"/>
          <w:lang w:val="en-US" w:eastAsia="en-US"/>
        </w:rPr>
        <w:t xml:space="preserve">Morath C. Virtual PRA replaces traditional PRA: small change but </w:t>
      </w:r>
      <w:r w:rsidRPr="00E40F70">
        <w:rPr>
          <w:rFonts w:ascii="Arial" w:hAnsi="Arial" w:cs="Arial"/>
          <w:bCs/>
          <w:sz w:val="22"/>
          <w:szCs w:val="22"/>
          <w:lang w:val="en-US"/>
        </w:rPr>
        <w:t>significantly</w:t>
      </w:r>
      <w:r w:rsidRPr="00E40F70">
        <w:rPr>
          <w:rFonts w:ascii="Arial" w:hAnsi="Arial" w:cs="Arial"/>
          <w:sz w:val="22"/>
          <w:szCs w:val="22"/>
          <w:lang w:val="en-US" w:eastAsia="en-US"/>
        </w:rPr>
        <w:t xml:space="preserve"> more </w:t>
      </w:r>
      <w:r w:rsidRPr="00E40F70">
        <w:rPr>
          <w:rFonts w:ascii="Arial" w:hAnsi="Arial" w:cs="Arial"/>
          <w:sz w:val="22"/>
          <w:szCs w:val="22"/>
          <w:lang w:val="en-US"/>
        </w:rPr>
        <w:t>justice</w:t>
      </w:r>
      <w:r w:rsidRPr="00E40F70">
        <w:rPr>
          <w:rFonts w:ascii="Arial" w:hAnsi="Arial" w:cs="Arial"/>
          <w:sz w:val="22"/>
          <w:szCs w:val="22"/>
          <w:lang w:val="en-US" w:eastAsia="en-US"/>
        </w:rPr>
        <w:t xml:space="preserve"> for sensitized patients. Transpl Int 28:708-709, 2015 </w:t>
      </w:r>
    </w:p>
    <w:p w14:paraId="7E5ABE46"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Zeier M, </w:t>
      </w:r>
      <w:r w:rsidRPr="00E40F70">
        <w:rPr>
          <w:rFonts w:ascii="Arial" w:hAnsi="Arial" w:cs="Arial"/>
          <w:b/>
          <w:sz w:val="22"/>
          <w:szCs w:val="22"/>
          <w:lang w:val="en-US"/>
        </w:rPr>
        <w:t>Süsal C</w:t>
      </w:r>
      <w:r w:rsidRPr="00E40F70">
        <w:rPr>
          <w:rFonts w:ascii="Arial" w:hAnsi="Arial" w:cs="Arial"/>
          <w:sz w:val="22"/>
          <w:szCs w:val="22"/>
          <w:lang w:val="en-US"/>
        </w:rPr>
        <w:t xml:space="preserve">, Döhler B, Opelz G. </w:t>
      </w:r>
      <w:r w:rsidRPr="00E40F70">
        <w:rPr>
          <w:rFonts w:ascii="Arial" w:hAnsi="Arial" w:cs="Arial"/>
          <w:bCs/>
          <w:sz w:val="22"/>
          <w:szCs w:val="22"/>
          <w:lang w:val="en-US"/>
        </w:rPr>
        <w:t xml:space="preserve">Response to A reassessment of the survival advantage of simultaneous kidney-pancreas versus kidney-alone </w:t>
      </w:r>
      <w:r w:rsidRPr="00E40F70">
        <w:rPr>
          <w:rFonts w:ascii="Arial" w:hAnsi="Arial" w:cs="Arial"/>
          <w:sz w:val="22"/>
          <w:szCs w:val="22"/>
          <w:lang w:val="en-US"/>
        </w:rPr>
        <w:t>transplantation</w:t>
      </w:r>
      <w:r w:rsidRPr="00E40F70">
        <w:rPr>
          <w:rFonts w:ascii="Arial" w:hAnsi="Arial" w:cs="Arial"/>
          <w:bCs/>
          <w:sz w:val="22"/>
          <w:szCs w:val="22"/>
          <w:lang w:val="en-US"/>
        </w:rPr>
        <w:t xml:space="preserve">. </w:t>
      </w:r>
      <w:r w:rsidRPr="00E40F70">
        <w:rPr>
          <w:rFonts w:ascii="Arial" w:hAnsi="Arial" w:cs="Arial"/>
          <w:sz w:val="22"/>
          <w:szCs w:val="22"/>
          <w:lang w:val="en-US"/>
        </w:rPr>
        <w:t>Transplantation 99:e175, 2015</w:t>
      </w:r>
    </w:p>
    <w:p w14:paraId="7A42856D"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bCs/>
          <w:sz w:val="22"/>
          <w:szCs w:val="22"/>
          <w:lang w:val="en-US"/>
        </w:rPr>
        <w:t>Süsal C</w:t>
      </w:r>
      <w:r w:rsidRPr="00E40F70">
        <w:rPr>
          <w:rFonts w:ascii="Arial" w:hAnsi="Arial" w:cs="Arial"/>
          <w:sz w:val="22"/>
          <w:szCs w:val="22"/>
          <w:lang w:val="en-US"/>
        </w:rPr>
        <w:t>, Opelz G. Transplantation: desensitization and survival in kidney transplant recipients. Nat Rev Nephrol 13:196-198, 2017</w:t>
      </w:r>
    </w:p>
    <w:p w14:paraId="6505AC7E"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Morath C. Is Belatacept switch safe in renal transplant recipients with donor-specific antibodies? Transplantation 103:1984-1985, 2019</w:t>
      </w:r>
    </w:p>
    <w:p w14:paraId="25B74E6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Mueller TF, Legendre C, Schemmer P. Editorial: Transplantation of Marginal Organs-Immunological Aspects and Therapeutic Perspectives. Front Immunol 11:612576, 2020</w:t>
      </w:r>
    </w:p>
    <w:p w14:paraId="04472C65" w14:textId="77777777" w:rsidR="00616F9A" w:rsidRPr="00E40F70" w:rsidRDefault="00616F9A" w:rsidP="00616F9A">
      <w:pPr>
        <w:numPr>
          <w:ilvl w:val="0"/>
          <w:numId w:val="1"/>
        </w:numPr>
        <w:shd w:val="clear" w:color="auto" w:fill="FFFFFF"/>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Morath C, </w:t>
      </w:r>
      <w:r w:rsidRPr="00E40F70">
        <w:rPr>
          <w:rFonts w:ascii="Arial" w:hAnsi="Arial" w:cs="Arial"/>
          <w:b/>
          <w:sz w:val="22"/>
          <w:szCs w:val="22"/>
          <w:lang w:val="en-US"/>
        </w:rPr>
        <w:t>Süsal C</w:t>
      </w:r>
      <w:r w:rsidRPr="00E40F70">
        <w:rPr>
          <w:rFonts w:ascii="Arial" w:hAnsi="Arial" w:cs="Arial"/>
          <w:sz w:val="22"/>
          <w:szCs w:val="22"/>
          <w:lang w:val="en-US"/>
        </w:rPr>
        <w:t>. Three is not enough. Transpl Int 33:612-614, 2020</w:t>
      </w:r>
    </w:p>
    <w:p w14:paraId="397EDEE8" w14:textId="77777777" w:rsidR="00766E3A" w:rsidRDefault="00766E3A" w:rsidP="00616F9A">
      <w:pPr>
        <w:tabs>
          <w:tab w:val="left" w:pos="567"/>
        </w:tabs>
        <w:spacing w:before="120" w:line="320" w:lineRule="exact"/>
        <w:ind w:left="567" w:hanging="567"/>
        <w:rPr>
          <w:rFonts w:ascii="Arial" w:hAnsi="Arial" w:cs="Arial"/>
          <w:b/>
          <w:sz w:val="22"/>
          <w:szCs w:val="22"/>
          <w:lang w:val="en-US"/>
        </w:rPr>
      </w:pPr>
    </w:p>
    <w:p w14:paraId="533A374F" w14:textId="77777777" w:rsidR="00616F9A" w:rsidRPr="00E40F70" w:rsidRDefault="00616F9A" w:rsidP="00616F9A">
      <w:pPr>
        <w:tabs>
          <w:tab w:val="left" w:pos="567"/>
        </w:tabs>
        <w:spacing w:before="120" w:line="320" w:lineRule="exact"/>
        <w:ind w:left="567" w:hanging="567"/>
        <w:rPr>
          <w:rFonts w:ascii="Arial" w:hAnsi="Arial" w:cs="Arial"/>
          <w:b/>
          <w:sz w:val="22"/>
          <w:szCs w:val="22"/>
          <w:lang w:val="en-US"/>
        </w:rPr>
      </w:pPr>
      <w:r w:rsidRPr="00E40F70">
        <w:rPr>
          <w:rFonts w:ascii="Arial" w:hAnsi="Arial" w:cs="Arial"/>
          <w:b/>
          <w:sz w:val="22"/>
          <w:szCs w:val="22"/>
          <w:lang w:val="en-US"/>
        </w:rPr>
        <w:t>Book Chapters</w:t>
      </w:r>
    </w:p>
    <w:p w14:paraId="7B68A10C" w14:textId="77777777" w:rsidR="00616F9A" w:rsidRPr="00E40F70" w:rsidRDefault="00616F9A" w:rsidP="00616F9A">
      <w:pPr>
        <w:numPr>
          <w:ilvl w:val="0"/>
          <w:numId w:val="6"/>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Terness P, </w:t>
      </w:r>
      <w:r w:rsidRPr="00E40F70">
        <w:rPr>
          <w:rFonts w:ascii="Arial" w:hAnsi="Arial" w:cs="Arial"/>
          <w:b/>
          <w:sz w:val="22"/>
          <w:szCs w:val="22"/>
          <w:lang w:val="en-US"/>
        </w:rPr>
        <w:t>Süsal C</w:t>
      </w:r>
      <w:r w:rsidRPr="00E40F70">
        <w:rPr>
          <w:rFonts w:ascii="Arial" w:hAnsi="Arial" w:cs="Arial"/>
          <w:sz w:val="22"/>
          <w:szCs w:val="22"/>
          <w:lang w:val="en-US"/>
        </w:rPr>
        <w:t xml:space="preserve">, Opelz G. Immunization with antigen-bound antibody: an experimental approach to prevention of sensitization to allogeneic blood cells In: White cells and platelets in blood transfusion. Smith Sbinga CTh, Das PC, </w:t>
      </w:r>
      <w:r w:rsidRPr="00E40F70">
        <w:rPr>
          <w:rFonts w:ascii="Arial" w:hAnsi="Arial" w:cs="Arial"/>
          <w:sz w:val="22"/>
          <w:szCs w:val="22"/>
          <w:lang w:val="en-US"/>
        </w:rPr>
        <w:lastRenderedPageBreak/>
        <w:t>Engelfriet CP (eds). Boston, Dordrecht, Lancaster: Martinus Nijhoff Publishing pp. 68-84, 1987</w:t>
      </w:r>
    </w:p>
    <w:p w14:paraId="77F730E8" w14:textId="77777777" w:rsidR="00616F9A" w:rsidRPr="00E40F70" w:rsidRDefault="00616F9A" w:rsidP="00616F9A">
      <w:pPr>
        <w:numPr>
          <w:ilvl w:val="0"/>
          <w:numId w:val="6"/>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xml:space="preserve">, Pelzl S, Opelz G. Relationship between kidney graft rejection and pretransplant anti-HLA antibody status and serum CD30 content. </w:t>
      </w:r>
      <w:r w:rsidRPr="00E40F70">
        <w:rPr>
          <w:rFonts w:ascii="Arial" w:hAnsi="Arial" w:cs="Arial"/>
          <w:snapToGrid w:val="0"/>
          <w:sz w:val="22"/>
          <w:szCs w:val="22"/>
          <w:lang w:val="en-US"/>
        </w:rPr>
        <w:t>HLA 2004: Immunobiology of the Human MHC. Proceedings of the 13</w:t>
      </w:r>
      <w:r w:rsidRPr="00E40F70">
        <w:rPr>
          <w:rFonts w:ascii="Arial" w:hAnsi="Arial" w:cs="Arial"/>
          <w:snapToGrid w:val="0"/>
          <w:sz w:val="22"/>
          <w:szCs w:val="22"/>
          <w:vertAlign w:val="superscript"/>
          <w:lang w:val="en-US"/>
        </w:rPr>
        <w:t>th</w:t>
      </w:r>
      <w:r w:rsidRPr="00E40F70">
        <w:rPr>
          <w:rFonts w:ascii="Arial" w:hAnsi="Arial" w:cs="Arial"/>
          <w:snapToGrid w:val="0"/>
          <w:sz w:val="22"/>
          <w:szCs w:val="22"/>
          <w:lang w:val="en-US"/>
        </w:rPr>
        <w:t xml:space="preserve"> International Histocompatibility Workshop and Congress.  (Hansen JA and Dupont B, eds), Volume I &amp; II, IHWG Press, Seattle, WA, USA, 2004</w:t>
      </w:r>
    </w:p>
    <w:p w14:paraId="611C35AE" w14:textId="77777777" w:rsidR="00616F9A" w:rsidRPr="00E40F70" w:rsidRDefault="00616F9A" w:rsidP="00616F9A">
      <w:pPr>
        <w:numPr>
          <w:ilvl w:val="0"/>
          <w:numId w:val="6"/>
        </w:numPr>
        <w:tabs>
          <w:tab w:val="left" w:pos="0"/>
        </w:tabs>
        <w:spacing w:before="120" w:line="320" w:lineRule="exact"/>
        <w:rPr>
          <w:rFonts w:ascii="Arial" w:hAnsi="Arial" w:cs="Arial"/>
          <w:sz w:val="22"/>
          <w:szCs w:val="22"/>
          <w:lang w:val="en-US"/>
        </w:rPr>
      </w:pPr>
      <w:r w:rsidRPr="00E40F70">
        <w:rPr>
          <w:rFonts w:ascii="Arial" w:hAnsi="Arial" w:cs="Arial"/>
          <w:sz w:val="22"/>
          <w:szCs w:val="22"/>
          <w:lang w:val="en-US"/>
        </w:rPr>
        <w:t xml:space="preserve">Terasaki P, Ozawa M, Castro R, Lee S, Cook D, Abdelnoor A, Bow L, Chan L, Christiansen F, Crowe D, duToit E, Esquenazi V, Fuggle S, Glehn C, Higgins N, Humar I, Jobim L, Kankonkar, Lee P, LeFor W, Mahoney R, McAlack R, Mehra N, Milford E, Naumova E, Neumann J, Orosz C, Perichon, Piazza A, Polymenidis A, Reed E, Reinsmoen N, Sada M, Saidman S, Schonenmann C, Semana G, Slavcev A, Stavropoulos-Giokas C, </w:t>
      </w:r>
      <w:r w:rsidRPr="00E40F70">
        <w:rPr>
          <w:rFonts w:ascii="Arial" w:hAnsi="Arial" w:cs="Arial"/>
          <w:b/>
          <w:sz w:val="22"/>
          <w:szCs w:val="22"/>
          <w:lang w:val="en-US"/>
        </w:rPr>
        <w:t>Süsal C</w:t>
      </w:r>
      <w:r w:rsidRPr="00E40F70">
        <w:rPr>
          <w:rFonts w:ascii="Arial" w:hAnsi="Arial" w:cs="Arial"/>
          <w:sz w:val="22"/>
          <w:szCs w:val="22"/>
          <w:lang w:val="en-US"/>
        </w:rPr>
        <w:t>, Tait B, Zeevi A. 13</w:t>
      </w:r>
      <w:r w:rsidRPr="00E40F70">
        <w:rPr>
          <w:rFonts w:ascii="Arial" w:hAnsi="Arial" w:cs="Arial"/>
          <w:sz w:val="22"/>
          <w:szCs w:val="22"/>
          <w:vertAlign w:val="superscript"/>
          <w:lang w:val="en-US"/>
        </w:rPr>
        <w:t>th</w:t>
      </w:r>
      <w:r w:rsidRPr="00E40F70">
        <w:rPr>
          <w:rFonts w:ascii="Arial" w:hAnsi="Arial" w:cs="Arial"/>
          <w:sz w:val="22"/>
          <w:szCs w:val="22"/>
          <w:lang w:val="en-US"/>
        </w:rPr>
        <w:t xml:space="preserve"> IHWS Chronic Rejection of Solid Organ Grafts Joint Report. M1. Prospective chronic rejection study report February 14, 2003. </w:t>
      </w:r>
      <w:r w:rsidRPr="00E40F70">
        <w:rPr>
          <w:rFonts w:ascii="Arial" w:hAnsi="Arial" w:cs="Arial"/>
          <w:snapToGrid w:val="0"/>
          <w:sz w:val="22"/>
          <w:szCs w:val="22"/>
          <w:lang w:val="en-US"/>
        </w:rPr>
        <w:t>HLA 2004: Immunobiology of the Human MHC. Proceedings of the 13</w:t>
      </w:r>
      <w:r w:rsidRPr="00E40F70">
        <w:rPr>
          <w:rFonts w:ascii="Arial" w:hAnsi="Arial" w:cs="Arial"/>
          <w:snapToGrid w:val="0"/>
          <w:sz w:val="22"/>
          <w:szCs w:val="22"/>
          <w:vertAlign w:val="superscript"/>
          <w:lang w:val="en-US"/>
        </w:rPr>
        <w:t>th</w:t>
      </w:r>
      <w:r w:rsidRPr="00E40F70">
        <w:rPr>
          <w:rFonts w:ascii="Arial" w:hAnsi="Arial" w:cs="Arial"/>
          <w:snapToGrid w:val="0"/>
          <w:sz w:val="22"/>
          <w:szCs w:val="22"/>
          <w:lang w:val="en-US"/>
        </w:rPr>
        <w:t xml:space="preserve"> International Histocompatibility Workshop and Congress (Hansen JA and Dupont B, eds), Volume I &amp; II, IHWG Press, Seattle, WA, USA, 2004</w:t>
      </w:r>
    </w:p>
    <w:p w14:paraId="124448BA" w14:textId="77777777" w:rsidR="00616F9A" w:rsidRPr="00E40F70" w:rsidRDefault="00616F9A" w:rsidP="00616F9A">
      <w:pPr>
        <w:numPr>
          <w:ilvl w:val="0"/>
          <w:numId w:val="6"/>
        </w:numPr>
        <w:tabs>
          <w:tab w:val="left" w:pos="0"/>
        </w:tabs>
        <w:spacing w:before="120" w:line="320" w:lineRule="exact"/>
        <w:rPr>
          <w:rFonts w:ascii="Arial" w:hAnsi="Arial" w:cs="Arial"/>
          <w:sz w:val="22"/>
          <w:szCs w:val="22"/>
          <w:lang w:val="en-US"/>
        </w:rPr>
      </w:pPr>
      <w:r w:rsidRPr="00E40F70">
        <w:rPr>
          <w:rFonts w:ascii="Arial" w:hAnsi="Arial" w:cs="Arial"/>
          <w:b/>
          <w:sz w:val="22"/>
          <w:szCs w:val="22"/>
          <w:lang w:val="en-US"/>
        </w:rPr>
        <w:t>Süsal C</w:t>
      </w:r>
      <w:r w:rsidRPr="00E40F70">
        <w:rPr>
          <w:rFonts w:ascii="Arial" w:hAnsi="Arial" w:cs="Arial"/>
          <w:sz w:val="22"/>
          <w:szCs w:val="22"/>
          <w:lang w:val="en-US"/>
        </w:rPr>
        <w:t>, Opelz G. Impact of HLA Matching and HLA Antibodies in Organ Transplantation. A Collaborative Transplant Study View. Immunogenetics-Methods&amp;Applications in Clinical Practice (Christiansen F, Tait B, eds). Humana Press, New York, NY, USA, 2011</w:t>
      </w:r>
    </w:p>
    <w:p w14:paraId="60A6CC5A" w14:textId="77777777" w:rsidR="00616F9A" w:rsidRPr="00E40F70" w:rsidRDefault="00616F9A" w:rsidP="00616F9A">
      <w:pPr>
        <w:numPr>
          <w:ilvl w:val="0"/>
          <w:numId w:val="6"/>
        </w:numPr>
        <w:tabs>
          <w:tab w:val="left" w:pos="0"/>
        </w:tabs>
        <w:spacing w:before="120" w:line="320" w:lineRule="exact"/>
        <w:rPr>
          <w:rFonts w:ascii="Arial" w:hAnsi="Arial" w:cs="Arial"/>
          <w:sz w:val="22"/>
          <w:szCs w:val="22"/>
          <w:lang w:val="en-US"/>
        </w:rPr>
      </w:pPr>
      <w:r w:rsidRPr="00E40F70">
        <w:rPr>
          <w:rFonts w:ascii="Arial" w:hAnsi="Arial" w:cs="Arial"/>
          <w:bCs/>
          <w:sz w:val="22"/>
          <w:szCs w:val="22"/>
          <w:lang w:val="en-US"/>
        </w:rPr>
        <w:t xml:space="preserve">Duman T, Tutkak H, </w:t>
      </w:r>
      <w:r w:rsidRPr="00E40F70">
        <w:rPr>
          <w:rFonts w:ascii="Arial" w:hAnsi="Arial" w:cs="Arial"/>
          <w:b/>
          <w:bCs/>
          <w:sz w:val="22"/>
          <w:szCs w:val="22"/>
          <w:lang w:val="en-US"/>
        </w:rPr>
        <w:t>Süsal C</w:t>
      </w:r>
      <w:r w:rsidRPr="00E40F70">
        <w:rPr>
          <w:rFonts w:ascii="Arial" w:hAnsi="Arial" w:cs="Arial"/>
          <w:bCs/>
          <w:sz w:val="22"/>
          <w:szCs w:val="22"/>
          <w:lang w:val="en-US"/>
        </w:rPr>
        <w:t xml:space="preserve">. Antikor Taramalarında Yeni Yaklaşım Kılavuzları 2013. </w:t>
      </w:r>
      <w:r w:rsidRPr="00E40F70">
        <w:rPr>
          <w:rFonts w:ascii="Arial" w:hAnsi="Arial" w:cs="Arial"/>
          <w:sz w:val="22"/>
          <w:szCs w:val="22"/>
          <w:lang w:val="en-US"/>
        </w:rPr>
        <w:t>Transplantasyon</w:t>
      </w:r>
      <w:r w:rsidRPr="00E40F70">
        <w:rPr>
          <w:rFonts w:ascii="Arial" w:hAnsi="Arial" w:cs="Arial"/>
          <w:bCs/>
          <w:sz w:val="22"/>
          <w:szCs w:val="22"/>
          <w:lang w:val="en-US"/>
        </w:rPr>
        <w:t xml:space="preserve"> İmmünolojisi Special Issue</w:t>
      </w:r>
      <w:r w:rsidRPr="00E40F70">
        <w:rPr>
          <w:rFonts w:ascii="Arial" w:hAnsi="Arial" w:cs="Arial"/>
          <w:sz w:val="22"/>
          <w:szCs w:val="22"/>
          <w:lang w:val="en-US"/>
        </w:rPr>
        <w:t xml:space="preserve"> (Tutkak H, ed). Türkiye Klinikleri</w:t>
      </w:r>
    </w:p>
    <w:p w14:paraId="79FA8F27" w14:textId="77777777" w:rsidR="00616F9A" w:rsidRPr="00106D90" w:rsidRDefault="00616F9A" w:rsidP="00616F9A">
      <w:pPr>
        <w:tabs>
          <w:tab w:val="left" w:pos="0"/>
          <w:tab w:val="left" w:pos="284"/>
        </w:tabs>
        <w:spacing w:before="120" w:line="320" w:lineRule="exact"/>
        <w:jc w:val="both"/>
        <w:rPr>
          <w:rFonts w:ascii="Arial" w:hAnsi="Arial" w:cs="Arial"/>
          <w:b/>
          <w:sz w:val="22"/>
          <w:szCs w:val="22"/>
          <w:lang w:val="en-US"/>
        </w:rPr>
      </w:pPr>
    </w:p>
    <w:sectPr w:rsidR="00616F9A" w:rsidRPr="00106D90" w:rsidSect="005B0BBE">
      <w:headerReference w:type="even" r:id="rId60"/>
      <w:headerReference w:type="default" r:id="rId61"/>
      <w:footerReference w:type="even" r:id="rId62"/>
      <w:headerReference w:type="first" r:id="rId63"/>
      <w:pgSz w:w="11906" w:h="16838"/>
      <w:pgMar w:top="1417" w:right="1417" w:bottom="1134"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B72CF" w14:textId="77777777" w:rsidR="00576803" w:rsidRDefault="00576803">
      <w:r>
        <w:separator/>
      </w:r>
    </w:p>
  </w:endnote>
  <w:endnote w:type="continuationSeparator" w:id="0">
    <w:p w14:paraId="56C05D7E" w14:textId="77777777" w:rsidR="00576803" w:rsidRDefault="0057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B72D" w14:textId="77777777" w:rsidR="005D0BA8" w:rsidRDefault="005D0BA8" w:rsidP="00576D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0B2061" w14:textId="77777777" w:rsidR="005D0BA8" w:rsidRDefault="005D0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1F7FB" w14:textId="77777777" w:rsidR="00576803" w:rsidRDefault="00576803">
      <w:r>
        <w:separator/>
      </w:r>
    </w:p>
  </w:footnote>
  <w:footnote w:type="continuationSeparator" w:id="0">
    <w:p w14:paraId="60B3031E" w14:textId="77777777" w:rsidR="00576803" w:rsidRDefault="0057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0A1AD" w14:textId="77777777" w:rsidR="005D0BA8" w:rsidRDefault="005D0BA8" w:rsidP="00F82F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572DBC" w14:textId="77777777" w:rsidR="005D0BA8" w:rsidRDefault="005D0BA8" w:rsidP="00F82F3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7018" w14:textId="77777777" w:rsidR="005D0BA8" w:rsidRPr="00F3708D" w:rsidRDefault="005D0BA8">
    <w:pPr>
      <w:pStyle w:val="Header"/>
      <w:jc w:val="right"/>
      <w:rPr>
        <w:rFonts w:ascii="Arial" w:hAnsi="Arial" w:cs="Arial"/>
      </w:rPr>
    </w:pPr>
    <w:r w:rsidRPr="00F3708D">
      <w:rPr>
        <w:rFonts w:ascii="Arial" w:hAnsi="Arial" w:cs="Arial"/>
      </w:rPr>
      <w:fldChar w:fldCharType="begin"/>
    </w:r>
    <w:r w:rsidRPr="00F3708D">
      <w:rPr>
        <w:rFonts w:ascii="Arial" w:hAnsi="Arial" w:cs="Arial"/>
      </w:rPr>
      <w:instrText>PAGE   \* MERGEFORMAT</w:instrText>
    </w:r>
    <w:r w:rsidRPr="00F3708D">
      <w:rPr>
        <w:rFonts w:ascii="Arial" w:hAnsi="Arial" w:cs="Arial"/>
      </w:rPr>
      <w:fldChar w:fldCharType="separate"/>
    </w:r>
    <w:r w:rsidR="00794EBE">
      <w:rPr>
        <w:rFonts w:ascii="Arial" w:hAnsi="Arial" w:cs="Arial"/>
        <w:noProof/>
      </w:rPr>
      <w:t>20</w:t>
    </w:r>
    <w:r w:rsidRPr="00F3708D">
      <w:rPr>
        <w:rFonts w:ascii="Arial" w:hAnsi="Arial" w:cs="Arial"/>
      </w:rPr>
      <w:fldChar w:fldCharType="end"/>
    </w:r>
  </w:p>
  <w:p w14:paraId="687B42A0" w14:textId="77777777" w:rsidR="005D0BA8" w:rsidRPr="00F309E3" w:rsidRDefault="005D0BA8" w:rsidP="00002A2F">
    <w:pPr>
      <w:pStyle w:val="Header"/>
      <w:pBdr>
        <w:bottom w:val="single" w:sz="12" w:space="1" w:color="auto"/>
      </w:pBdr>
      <w:spacing w:line="360" w:lineRule="auto"/>
      <w:ind w:right="357"/>
      <w:outlineLvl w:val="0"/>
      <w:rPr>
        <w:rFonts w:ascii="Arial" w:hAnsi="Arial" w:cs="Arial"/>
        <w:b/>
        <w:lang w:val="en-US"/>
      </w:rPr>
    </w:pPr>
    <w:r w:rsidRPr="00F309E3">
      <w:rPr>
        <w:rFonts w:ascii="Arial" w:hAnsi="Arial" w:cs="Arial"/>
        <w:b/>
        <w:lang w:val="en-US"/>
      </w:rPr>
      <w:t>Curriculum Vitae Caner Süsal, M.D.</w:t>
    </w:r>
  </w:p>
  <w:p w14:paraId="5BB7E245" w14:textId="77777777" w:rsidR="005D0BA8" w:rsidRPr="00F309E3" w:rsidRDefault="005D0BA8" w:rsidP="00BC0F86">
    <w:pPr>
      <w:pStyle w:val="Header"/>
      <w:ind w:right="357"/>
      <w:outlineLvl w:val="0"/>
      <w:rPr>
        <w:rFonts w:ascii="Arial" w:hAnsi="Arial" w:cs="Arial"/>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DA52" w14:textId="77777777" w:rsidR="005D0BA8" w:rsidRPr="00F309E3" w:rsidRDefault="005D0BA8" w:rsidP="00F82F32">
    <w:pPr>
      <w:pStyle w:val="Header"/>
      <w:ind w:right="360"/>
      <w:rPr>
        <w:rFonts w:ascii="Arial" w:hAnsi="Arial" w:cs="Arial"/>
        <w:b/>
      </w:rPr>
    </w:pPr>
    <w:r w:rsidRPr="00F309E3">
      <w:rPr>
        <w:rFonts w:ascii="Arial" w:hAnsi="Arial" w:cs="Arial"/>
        <w:b/>
        <w:lang w:val="en-US"/>
      </w:rPr>
      <w:t xml:space="preserve">Curriculum Vitae </w:t>
    </w:r>
    <w:r w:rsidRPr="00F309E3">
      <w:rPr>
        <w:rFonts w:ascii="Arial" w:hAnsi="Arial" w:cs="Arial"/>
        <w:b/>
      </w:rPr>
      <w:t>Caner Süsal, M.D.</w:t>
    </w:r>
  </w:p>
  <w:p w14:paraId="18693F3A" w14:textId="77777777" w:rsidR="005D0BA8" w:rsidRPr="00F82F32" w:rsidRDefault="005D0BA8" w:rsidP="00F82F32">
    <w:pPr>
      <w:pStyle w:val="Header"/>
      <w:rPr>
        <w:rFonts w:ascii="Arial" w:hAnsi="Arial" w:cs="Arial"/>
        <w:b/>
      </w:rPr>
    </w:pPr>
    <w:r w:rsidRPr="00F82F32">
      <w:rPr>
        <w:rFonts w:ascii="Arial" w:hAnsi="Arial" w:cs="Arial"/>
        <w:b/>
      </w:rPr>
      <w:t>_________________________________________________________________________________</w:t>
    </w:r>
  </w:p>
  <w:p w14:paraId="18AB59D5" w14:textId="77777777" w:rsidR="005D0BA8" w:rsidRPr="00F82F32" w:rsidRDefault="005D0BA8">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6780"/>
    <w:multiLevelType w:val="hybridMultilevel"/>
    <w:tmpl w:val="87F89574"/>
    <w:lvl w:ilvl="0" w:tplc="EA1CBB9C">
      <w:start w:val="1"/>
      <w:numFmt w:val="bullet"/>
      <w:lvlText w:val=""/>
      <w:lvlJc w:val="left"/>
      <w:pPr>
        <w:ind w:left="1143"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 w15:restartNumberingAfterBreak="0">
    <w:nsid w:val="06C141E5"/>
    <w:multiLevelType w:val="hybridMultilevel"/>
    <w:tmpl w:val="71122C98"/>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B6440"/>
    <w:multiLevelType w:val="hybridMultilevel"/>
    <w:tmpl w:val="7BFC0420"/>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20F5"/>
    <w:multiLevelType w:val="hybridMultilevel"/>
    <w:tmpl w:val="AB30FE90"/>
    <w:lvl w:ilvl="0" w:tplc="D8584BBE">
      <w:start w:val="1"/>
      <w:numFmt w:val="decimal"/>
      <w:lvlText w:val="%1."/>
      <w:lvlJc w:val="left"/>
      <w:pPr>
        <w:tabs>
          <w:tab w:val="num" w:pos="1021"/>
        </w:tabs>
        <w:ind w:left="1021" w:hanging="454"/>
      </w:pPr>
      <w:rPr>
        <w:rFonts w:ascii="Arial" w:hAnsi="Arial" w:hint="default"/>
        <w:b w:val="0"/>
        <w:i w:val="0"/>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D4417C5"/>
    <w:multiLevelType w:val="hybridMultilevel"/>
    <w:tmpl w:val="39C6C4BC"/>
    <w:lvl w:ilvl="0" w:tplc="F1A4C834">
      <w:start w:val="1"/>
      <w:numFmt w:val="bullet"/>
      <w:lvlText w:val=""/>
      <w:lvlJc w:val="left"/>
      <w:pPr>
        <w:tabs>
          <w:tab w:val="num" w:pos="742"/>
        </w:tabs>
        <w:ind w:left="742"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EA1CBB9C">
      <w:start w:val="1"/>
      <w:numFmt w:val="bullet"/>
      <w:lvlText w:val=""/>
      <w:lvlJc w:val="left"/>
      <w:pPr>
        <w:tabs>
          <w:tab w:val="num" w:pos="2007"/>
        </w:tabs>
        <w:ind w:left="200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2" w:tplc="04070005">
      <w:start w:val="1"/>
      <w:numFmt w:val="bullet"/>
      <w:lvlText w:val=""/>
      <w:lvlJc w:val="left"/>
      <w:pPr>
        <w:tabs>
          <w:tab w:val="num" w:pos="2182"/>
        </w:tabs>
        <w:ind w:left="2182" w:hanging="360"/>
      </w:pPr>
      <w:rPr>
        <w:rFonts w:ascii="Wingdings" w:hAnsi="Wingdings" w:hint="default"/>
      </w:rPr>
    </w:lvl>
    <w:lvl w:ilvl="3" w:tplc="04070001" w:tentative="1">
      <w:start w:val="1"/>
      <w:numFmt w:val="bullet"/>
      <w:lvlText w:val=""/>
      <w:lvlJc w:val="left"/>
      <w:pPr>
        <w:tabs>
          <w:tab w:val="num" w:pos="2902"/>
        </w:tabs>
        <w:ind w:left="2902" w:hanging="360"/>
      </w:pPr>
      <w:rPr>
        <w:rFonts w:ascii="Symbol" w:hAnsi="Symbol" w:hint="default"/>
      </w:rPr>
    </w:lvl>
    <w:lvl w:ilvl="4" w:tplc="04070003" w:tentative="1">
      <w:start w:val="1"/>
      <w:numFmt w:val="bullet"/>
      <w:lvlText w:val="o"/>
      <w:lvlJc w:val="left"/>
      <w:pPr>
        <w:tabs>
          <w:tab w:val="num" w:pos="3622"/>
        </w:tabs>
        <w:ind w:left="3622" w:hanging="360"/>
      </w:pPr>
      <w:rPr>
        <w:rFonts w:ascii="Courier New" w:hAnsi="Courier New" w:cs="Courier New" w:hint="default"/>
      </w:rPr>
    </w:lvl>
    <w:lvl w:ilvl="5" w:tplc="04070005" w:tentative="1">
      <w:start w:val="1"/>
      <w:numFmt w:val="bullet"/>
      <w:lvlText w:val=""/>
      <w:lvlJc w:val="left"/>
      <w:pPr>
        <w:tabs>
          <w:tab w:val="num" w:pos="4342"/>
        </w:tabs>
        <w:ind w:left="4342" w:hanging="360"/>
      </w:pPr>
      <w:rPr>
        <w:rFonts w:ascii="Wingdings" w:hAnsi="Wingdings" w:hint="default"/>
      </w:rPr>
    </w:lvl>
    <w:lvl w:ilvl="6" w:tplc="04070001" w:tentative="1">
      <w:start w:val="1"/>
      <w:numFmt w:val="bullet"/>
      <w:lvlText w:val=""/>
      <w:lvlJc w:val="left"/>
      <w:pPr>
        <w:tabs>
          <w:tab w:val="num" w:pos="5062"/>
        </w:tabs>
        <w:ind w:left="5062" w:hanging="360"/>
      </w:pPr>
      <w:rPr>
        <w:rFonts w:ascii="Symbol" w:hAnsi="Symbol" w:hint="default"/>
      </w:rPr>
    </w:lvl>
    <w:lvl w:ilvl="7" w:tplc="04070003" w:tentative="1">
      <w:start w:val="1"/>
      <w:numFmt w:val="bullet"/>
      <w:lvlText w:val="o"/>
      <w:lvlJc w:val="left"/>
      <w:pPr>
        <w:tabs>
          <w:tab w:val="num" w:pos="5782"/>
        </w:tabs>
        <w:ind w:left="5782" w:hanging="360"/>
      </w:pPr>
      <w:rPr>
        <w:rFonts w:ascii="Courier New" w:hAnsi="Courier New" w:cs="Courier New" w:hint="default"/>
      </w:rPr>
    </w:lvl>
    <w:lvl w:ilvl="8" w:tplc="04070005" w:tentative="1">
      <w:start w:val="1"/>
      <w:numFmt w:val="bullet"/>
      <w:lvlText w:val=""/>
      <w:lvlJc w:val="left"/>
      <w:pPr>
        <w:tabs>
          <w:tab w:val="num" w:pos="6502"/>
        </w:tabs>
        <w:ind w:left="6502" w:hanging="360"/>
      </w:pPr>
      <w:rPr>
        <w:rFonts w:ascii="Wingdings" w:hAnsi="Wingdings" w:hint="default"/>
      </w:rPr>
    </w:lvl>
  </w:abstractNum>
  <w:abstractNum w:abstractNumId="5" w15:restartNumberingAfterBreak="0">
    <w:nsid w:val="0D8259CB"/>
    <w:multiLevelType w:val="hybridMultilevel"/>
    <w:tmpl w:val="AB30FE90"/>
    <w:lvl w:ilvl="0" w:tplc="D8584BBE">
      <w:start w:val="1"/>
      <w:numFmt w:val="decimal"/>
      <w:lvlText w:val="%1."/>
      <w:lvlJc w:val="left"/>
      <w:pPr>
        <w:tabs>
          <w:tab w:val="num" w:pos="1021"/>
        </w:tabs>
        <w:ind w:left="1021" w:hanging="454"/>
      </w:pPr>
      <w:rPr>
        <w:rFonts w:ascii="Arial" w:hAnsi="Arial" w:hint="default"/>
        <w:b w:val="0"/>
        <w:i w:val="0"/>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05E15B1"/>
    <w:multiLevelType w:val="hybridMultilevel"/>
    <w:tmpl w:val="B95C9C9C"/>
    <w:lvl w:ilvl="0" w:tplc="42288AE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9701C"/>
    <w:multiLevelType w:val="hybridMultilevel"/>
    <w:tmpl w:val="649ADD0E"/>
    <w:lvl w:ilvl="0" w:tplc="EA1CBB9C">
      <w:start w:val="1"/>
      <w:numFmt w:val="bullet"/>
      <w:lvlText w:val=""/>
      <w:lvlJc w:val="left"/>
      <w:pPr>
        <w:ind w:left="128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E17069A"/>
    <w:multiLevelType w:val="hybridMultilevel"/>
    <w:tmpl w:val="082605EA"/>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15E7B"/>
    <w:multiLevelType w:val="hybridMultilevel"/>
    <w:tmpl w:val="255EF8A6"/>
    <w:lvl w:ilvl="0" w:tplc="04070005">
      <w:start w:val="1"/>
      <w:numFmt w:val="bullet"/>
      <w:lvlText w:val=""/>
      <w:lvlJc w:val="left"/>
      <w:pPr>
        <w:tabs>
          <w:tab w:val="num" w:pos="1287"/>
        </w:tabs>
        <w:ind w:left="1287" w:hanging="360"/>
      </w:pPr>
      <w:rPr>
        <w:rFonts w:ascii="Wingdings" w:hAnsi="Wingdings" w:hint="default"/>
      </w:rPr>
    </w:lvl>
    <w:lvl w:ilvl="1" w:tplc="2BC6BF74">
      <w:start w:val="1"/>
      <w:numFmt w:val="bullet"/>
      <w:lvlText w:val=""/>
      <w:lvlJc w:val="left"/>
      <w:pPr>
        <w:tabs>
          <w:tab w:val="num" w:pos="1440"/>
        </w:tabs>
        <w:ind w:left="1440" w:hanging="360"/>
      </w:pPr>
      <w:rPr>
        <w:rFonts w:ascii="Wingdings" w:hAnsi="Wingdings" w:hint="default"/>
        <w:u w:color="00008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B35A70"/>
    <w:multiLevelType w:val="hybridMultilevel"/>
    <w:tmpl w:val="776A945A"/>
    <w:lvl w:ilvl="0" w:tplc="F1A4C834">
      <w:start w:val="1"/>
      <w:numFmt w:val="bullet"/>
      <w:lvlText w:val=""/>
      <w:lvlJc w:val="left"/>
      <w:pPr>
        <w:tabs>
          <w:tab w:val="num" w:pos="720"/>
        </w:tabs>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F5DFF"/>
    <w:multiLevelType w:val="hybridMultilevel"/>
    <w:tmpl w:val="308E1366"/>
    <w:lvl w:ilvl="0" w:tplc="2BE42518">
      <w:start w:val="1"/>
      <w:numFmt w:val="bullet"/>
      <w:lvlText w:val=""/>
      <w:lvlJc w:val="left"/>
      <w:pPr>
        <w:tabs>
          <w:tab w:val="num" w:pos="742"/>
        </w:tabs>
        <w:ind w:left="742"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EA1CBB9C">
      <w:start w:val="1"/>
      <w:numFmt w:val="bullet"/>
      <w:lvlText w:val=""/>
      <w:lvlJc w:val="left"/>
      <w:pPr>
        <w:tabs>
          <w:tab w:val="num" w:pos="2007"/>
        </w:tabs>
        <w:ind w:left="200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2" w:tplc="04070005">
      <w:start w:val="1"/>
      <w:numFmt w:val="bullet"/>
      <w:lvlText w:val=""/>
      <w:lvlJc w:val="left"/>
      <w:pPr>
        <w:tabs>
          <w:tab w:val="num" w:pos="2182"/>
        </w:tabs>
        <w:ind w:left="2182" w:hanging="360"/>
      </w:pPr>
      <w:rPr>
        <w:rFonts w:ascii="Wingdings" w:hAnsi="Wingdings" w:hint="default"/>
      </w:rPr>
    </w:lvl>
    <w:lvl w:ilvl="3" w:tplc="04070001" w:tentative="1">
      <w:start w:val="1"/>
      <w:numFmt w:val="bullet"/>
      <w:lvlText w:val=""/>
      <w:lvlJc w:val="left"/>
      <w:pPr>
        <w:tabs>
          <w:tab w:val="num" w:pos="2902"/>
        </w:tabs>
        <w:ind w:left="2902" w:hanging="360"/>
      </w:pPr>
      <w:rPr>
        <w:rFonts w:ascii="Symbol" w:hAnsi="Symbol" w:hint="default"/>
      </w:rPr>
    </w:lvl>
    <w:lvl w:ilvl="4" w:tplc="04070003" w:tentative="1">
      <w:start w:val="1"/>
      <w:numFmt w:val="bullet"/>
      <w:lvlText w:val="o"/>
      <w:lvlJc w:val="left"/>
      <w:pPr>
        <w:tabs>
          <w:tab w:val="num" w:pos="3622"/>
        </w:tabs>
        <w:ind w:left="3622" w:hanging="360"/>
      </w:pPr>
      <w:rPr>
        <w:rFonts w:ascii="Courier New" w:hAnsi="Courier New" w:cs="Courier New" w:hint="default"/>
      </w:rPr>
    </w:lvl>
    <w:lvl w:ilvl="5" w:tplc="04070005" w:tentative="1">
      <w:start w:val="1"/>
      <w:numFmt w:val="bullet"/>
      <w:lvlText w:val=""/>
      <w:lvlJc w:val="left"/>
      <w:pPr>
        <w:tabs>
          <w:tab w:val="num" w:pos="4342"/>
        </w:tabs>
        <w:ind w:left="4342" w:hanging="360"/>
      </w:pPr>
      <w:rPr>
        <w:rFonts w:ascii="Wingdings" w:hAnsi="Wingdings" w:hint="default"/>
      </w:rPr>
    </w:lvl>
    <w:lvl w:ilvl="6" w:tplc="04070001" w:tentative="1">
      <w:start w:val="1"/>
      <w:numFmt w:val="bullet"/>
      <w:lvlText w:val=""/>
      <w:lvlJc w:val="left"/>
      <w:pPr>
        <w:tabs>
          <w:tab w:val="num" w:pos="5062"/>
        </w:tabs>
        <w:ind w:left="5062" w:hanging="360"/>
      </w:pPr>
      <w:rPr>
        <w:rFonts w:ascii="Symbol" w:hAnsi="Symbol" w:hint="default"/>
      </w:rPr>
    </w:lvl>
    <w:lvl w:ilvl="7" w:tplc="04070003" w:tentative="1">
      <w:start w:val="1"/>
      <w:numFmt w:val="bullet"/>
      <w:lvlText w:val="o"/>
      <w:lvlJc w:val="left"/>
      <w:pPr>
        <w:tabs>
          <w:tab w:val="num" w:pos="5782"/>
        </w:tabs>
        <w:ind w:left="5782" w:hanging="360"/>
      </w:pPr>
      <w:rPr>
        <w:rFonts w:ascii="Courier New" w:hAnsi="Courier New" w:cs="Courier New" w:hint="default"/>
      </w:rPr>
    </w:lvl>
    <w:lvl w:ilvl="8" w:tplc="04070005" w:tentative="1">
      <w:start w:val="1"/>
      <w:numFmt w:val="bullet"/>
      <w:lvlText w:val=""/>
      <w:lvlJc w:val="left"/>
      <w:pPr>
        <w:tabs>
          <w:tab w:val="num" w:pos="6502"/>
        </w:tabs>
        <w:ind w:left="6502" w:hanging="360"/>
      </w:pPr>
      <w:rPr>
        <w:rFonts w:ascii="Wingdings" w:hAnsi="Wingdings" w:hint="default"/>
      </w:rPr>
    </w:lvl>
  </w:abstractNum>
  <w:abstractNum w:abstractNumId="12" w15:restartNumberingAfterBreak="0">
    <w:nsid w:val="28AE5BE6"/>
    <w:multiLevelType w:val="hybridMultilevel"/>
    <w:tmpl w:val="9306C4AE"/>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973B6"/>
    <w:multiLevelType w:val="hybridMultilevel"/>
    <w:tmpl w:val="C48477D8"/>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46F13"/>
    <w:multiLevelType w:val="hybridMultilevel"/>
    <w:tmpl w:val="F6D05426"/>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75A42"/>
    <w:multiLevelType w:val="hybridMultilevel"/>
    <w:tmpl w:val="9CDC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B730C"/>
    <w:multiLevelType w:val="hybridMultilevel"/>
    <w:tmpl w:val="B3680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4405E"/>
    <w:multiLevelType w:val="hybridMultilevel"/>
    <w:tmpl w:val="A6CC8A62"/>
    <w:lvl w:ilvl="0" w:tplc="31B43576">
      <w:start w:val="1"/>
      <w:numFmt w:val="decimal"/>
      <w:lvlText w:val="%1."/>
      <w:lvlJc w:val="left"/>
      <w:pPr>
        <w:tabs>
          <w:tab w:val="num" w:pos="1021"/>
        </w:tabs>
        <w:ind w:left="1021" w:hanging="454"/>
      </w:pPr>
      <w:rPr>
        <w:rFonts w:ascii="Arial" w:hAnsi="Arial" w:hint="default"/>
        <w:b w:val="0"/>
        <w:i w:val="0"/>
        <w:color w:val="auto"/>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09D0EA6"/>
    <w:multiLevelType w:val="hybridMultilevel"/>
    <w:tmpl w:val="4B92B908"/>
    <w:lvl w:ilvl="0" w:tplc="EA1CBB9C">
      <w:start w:val="1"/>
      <w:numFmt w:val="bullet"/>
      <w:lvlText w:val=""/>
      <w:lvlJc w:val="left"/>
      <w:pPr>
        <w:tabs>
          <w:tab w:val="num" w:pos="2007"/>
        </w:tabs>
        <w:ind w:left="200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0F7E9B"/>
    <w:multiLevelType w:val="hybridMultilevel"/>
    <w:tmpl w:val="0AD4D2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D3258"/>
    <w:multiLevelType w:val="hybridMultilevel"/>
    <w:tmpl w:val="1054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D5651"/>
    <w:multiLevelType w:val="hybridMultilevel"/>
    <w:tmpl w:val="6C10FDA8"/>
    <w:lvl w:ilvl="0" w:tplc="EA1CBB9C">
      <w:start w:val="1"/>
      <w:numFmt w:val="bullet"/>
      <w:lvlText w:val=""/>
      <w:lvlJc w:val="left"/>
      <w:pPr>
        <w:ind w:left="128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F1E7B3B"/>
    <w:multiLevelType w:val="hybridMultilevel"/>
    <w:tmpl w:val="ADFC2806"/>
    <w:lvl w:ilvl="0" w:tplc="FEAC8FD0">
      <w:start w:val="5"/>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4FB404E8"/>
    <w:multiLevelType w:val="hybridMultilevel"/>
    <w:tmpl w:val="E27C4392"/>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50558"/>
    <w:multiLevelType w:val="hybridMultilevel"/>
    <w:tmpl w:val="140442EA"/>
    <w:lvl w:ilvl="0" w:tplc="D8584BBE">
      <w:start w:val="1"/>
      <w:numFmt w:val="decimal"/>
      <w:lvlText w:val="%1."/>
      <w:lvlJc w:val="left"/>
      <w:pPr>
        <w:tabs>
          <w:tab w:val="num" w:pos="1021"/>
        </w:tabs>
        <w:ind w:left="1021" w:hanging="454"/>
      </w:pPr>
      <w:rPr>
        <w:rFonts w:ascii="Arial" w:hAnsi="Arial" w:hint="default"/>
        <w:b w:val="0"/>
        <w:i w:val="0"/>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54AD49A6"/>
    <w:multiLevelType w:val="hybridMultilevel"/>
    <w:tmpl w:val="41A855E4"/>
    <w:lvl w:ilvl="0" w:tplc="04070001">
      <w:start w:val="1"/>
      <w:numFmt w:val="bullet"/>
      <w:lvlText w:val=""/>
      <w:lvlJc w:val="left"/>
      <w:pPr>
        <w:tabs>
          <w:tab w:val="num" w:pos="581"/>
        </w:tabs>
        <w:ind w:left="581" w:hanging="360"/>
      </w:pPr>
      <w:rPr>
        <w:rFonts w:ascii="Symbol" w:hAnsi="Symbol" w:hint="default"/>
      </w:rPr>
    </w:lvl>
    <w:lvl w:ilvl="1" w:tplc="04070003">
      <w:start w:val="1"/>
      <w:numFmt w:val="bullet"/>
      <w:lvlText w:val="o"/>
      <w:lvlJc w:val="left"/>
      <w:pPr>
        <w:tabs>
          <w:tab w:val="num" w:pos="1301"/>
        </w:tabs>
        <w:ind w:left="1301" w:hanging="360"/>
      </w:pPr>
      <w:rPr>
        <w:rFonts w:ascii="Courier New" w:hAnsi="Courier New" w:cs="Courier New" w:hint="default"/>
      </w:rPr>
    </w:lvl>
    <w:lvl w:ilvl="2" w:tplc="04070005" w:tentative="1">
      <w:start w:val="1"/>
      <w:numFmt w:val="bullet"/>
      <w:lvlText w:val=""/>
      <w:lvlJc w:val="left"/>
      <w:pPr>
        <w:tabs>
          <w:tab w:val="num" w:pos="2021"/>
        </w:tabs>
        <w:ind w:left="2021" w:hanging="360"/>
      </w:pPr>
      <w:rPr>
        <w:rFonts w:ascii="Wingdings" w:hAnsi="Wingdings" w:hint="default"/>
      </w:rPr>
    </w:lvl>
    <w:lvl w:ilvl="3" w:tplc="04070001" w:tentative="1">
      <w:start w:val="1"/>
      <w:numFmt w:val="bullet"/>
      <w:lvlText w:val=""/>
      <w:lvlJc w:val="left"/>
      <w:pPr>
        <w:tabs>
          <w:tab w:val="num" w:pos="2741"/>
        </w:tabs>
        <w:ind w:left="2741" w:hanging="360"/>
      </w:pPr>
      <w:rPr>
        <w:rFonts w:ascii="Symbol" w:hAnsi="Symbol" w:hint="default"/>
      </w:rPr>
    </w:lvl>
    <w:lvl w:ilvl="4" w:tplc="04070003" w:tentative="1">
      <w:start w:val="1"/>
      <w:numFmt w:val="bullet"/>
      <w:lvlText w:val="o"/>
      <w:lvlJc w:val="left"/>
      <w:pPr>
        <w:tabs>
          <w:tab w:val="num" w:pos="3461"/>
        </w:tabs>
        <w:ind w:left="3461" w:hanging="360"/>
      </w:pPr>
      <w:rPr>
        <w:rFonts w:ascii="Courier New" w:hAnsi="Courier New" w:cs="Courier New" w:hint="default"/>
      </w:rPr>
    </w:lvl>
    <w:lvl w:ilvl="5" w:tplc="04070005" w:tentative="1">
      <w:start w:val="1"/>
      <w:numFmt w:val="bullet"/>
      <w:lvlText w:val=""/>
      <w:lvlJc w:val="left"/>
      <w:pPr>
        <w:tabs>
          <w:tab w:val="num" w:pos="4181"/>
        </w:tabs>
        <w:ind w:left="4181" w:hanging="360"/>
      </w:pPr>
      <w:rPr>
        <w:rFonts w:ascii="Wingdings" w:hAnsi="Wingdings" w:hint="default"/>
      </w:rPr>
    </w:lvl>
    <w:lvl w:ilvl="6" w:tplc="04070001" w:tentative="1">
      <w:start w:val="1"/>
      <w:numFmt w:val="bullet"/>
      <w:lvlText w:val=""/>
      <w:lvlJc w:val="left"/>
      <w:pPr>
        <w:tabs>
          <w:tab w:val="num" w:pos="4901"/>
        </w:tabs>
        <w:ind w:left="4901" w:hanging="360"/>
      </w:pPr>
      <w:rPr>
        <w:rFonts w:ascii="Symbol" w:hAnsi="Symbol" w:hint="default"/>
      </w:rPr>
    </w:lvl>
    <w:lvl w:ilvl="7" w:tplc="04070003" w:tentative="1">
      <w:start w:val="1"/>
      <w:numFmt w:val="bullet"/>
      <w:lvlText w:val="o"/>
      <w:lvlJc w:val="left"/>
      <w:pPr>
        <w:tabs>
          <w:tab w:val="num" w:pos="5621"/>
        </w:tabs>
        <w:ind w:left="5621" w:hanging="360"/>
      </w:pPr>
      <w:rPr>
        <w:rFonts w:ascii="Courier New" w:hAnsi="Courier New" w:cs="Courier New" w:hint="default"/>
      </w:rPr>
    </w:lvl>
    <w:lvl w:ilvl="8" w:tplc="04070005" w:tentative="1">
      <w:start w:val="1"/>
      <w:numFmt w:val="bullet"/>
      <w:lvlText w:val=""/>
      <w:lvlJc w:val="left"/>
      <w:pPr>
        <w:tabs>
          <w:tab w:val="num" w:pos="6341"/>
        </w:tabs>
        <w:ind w:left="6341" w:hanging="360"/>
      </w:pPr>
      <w:rPr>
        <w:rFonts w:ascii="Wingdings" w:hAnsi="Wingdings" w:hint="default"/>
      </w:rPr>
    </w:lvl>
  </w:abstractNum>
  <w:abstractNum w:abstractNumId="26" w15:restartNumberingAfterBreak="0">
    <w:nsid w:val="55C11254"/>
    <w:multiLevelType w:val="hybridMultilevel"/>
    <w:tmpl w:val="1C30E3E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4184D"/>
    <w:multiLevelType w:val="hybridMultilevel"/>
    <w:tmpl w:val="F35EFEC8"/>
    <w:lvl w:ilvl="0" w:tplc="EA1CBB9C">
      <w:start w:val="1"/>
      <w:numFmt w:val="bullet"/>
      <w:lvlText w:val=""/>
      <w:lvlJc w:val="left"/>
      <w:pPr>
        <w:tabs>
          <w:tab w:val="num" w:pos="2574"/>
        </w:tabs>
        <w:ind w:left="2574"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58741A9C"/>
    <w:multiLevelType w:val="hybridMultilevel"/>
    <w:tmpl w:val="2A82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94E2F"/>
    <w:multiLevelType w:val="multilevel"/>
    <w:tmpl w:val="5AEA2B6E"/>
    <w:lvl w:ilvl="0">
      <w:start w:val="1"/>
      <w:numFmt w:val="bullet"/>
      <w:lvlText w:val=""/>
      <w:lvlJc w:val="left"/>
      <w:pPr>
        <w:tabs>
          <w:tab w:val="num" w:pos="360"/>
        </w:tabs>
        <w:ind w:left="36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C6E3EDF"/>
    <w:multiLevelType w:val="hybridMultilevel"/>
    <w:tmpl w:val="F0D0F2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08794A"/>
    <w:multiLevelType w:val="hybridMultilevel"/>
    <w:tmpl w:val="22B27A62"/>
    <w:lvl w:ilvl="0" w:tplc="EA1CBB9C">
      <w:start w:val="1"/>
      <w:numFmt w:val="bullet"/>
      <w:lvlText w:val=""/>
      <w:lvlJc w:val="left"/>
      <w:pPr>
        <w:ind w:left="128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EA1CBB9C">
      <w:start w:val="1"/>
      <w:numFmt w:val="bullet"/>
      <w:lvlText w:val=""/>
      <w:lvlJc w:val="left"/>
      <w:pPr>
        <w:ind w:left="2007"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81418BB"/>
    <w:multiLevelType w:val="hybridMultilevel"/>
    <w:tmpl w:val="D73489C0"/>
    <w:lvl w:ilvl="0" w:tplc="5510E314">
      <w:start w:val="1"/>
      <w:numFmt w:val="bullet"/>
      <w:lvlText w:val=""/>
      <w:lvlJc w:val="left"/>
      <w:pPr>
        <w:tabs>
          <w:tab w:val="num" w:pos="1429"/>
        </w:tabs>
        <w:ind w:left="1429" w:hanging="360"/>
      </w:pPr>
      <w:rPr>
        <w:rFonts w:ascii="Wingdings" w:hAnsi="Wingdings" w:hint="default"/>
        <w:u w:color="000080"/>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D3856FB"/>
    <w:multiLevelType w:val="hybridMultilevel"/>
    <w:tmpl w:val="D9B8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6326F"/>
    <w:multiLevelType w:val="hybridMultilevel"/>
    <w:tmpl w:val="01B283AA"/>
    <w:lvl w:ilvl="0" w:tplc="5510E314">
      <w:start w:val="1"/>
      <w:numFmt w:val="bullet"/>
      <w:lvlText w:val=""/>
      <w:lvlJc w:val="left"/>
      <w:pPr>
        <w:tabs>
          <w:tab w:val="num" w:pos="720"/>
        </w:tabs>
        <w:ind w:left="720" w:hanging="360"/>
      </w:pPr>
      <w:rPr>
        <w:rFonts w:ascii="Wingdings" w:hAnsi="Wingdings" w:hint="default"/>
        <w:u w:color="000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2B55D6"/>
    <w:multiLevelType w:val="hybridMultilevel"/>
    <w:tmpl w:val="8FAE8998"/>
    <w:lvl w:ilvl="0" w:tplc="EA1CBB9C">
      <w:start w:val="1"/>
      <w:numFmt w:val="bullet"/>
      <w:lvlText w:val=""/>
      <w:lvlJc w:val="left"/>
      <w:pPr>
        <w:tabs>
          <w:tab w:val="num" w:pos="3829"/>
        </w:tabs>
        <w:ind w:left="3829"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3262"/>
        </w:tabs>
        <w:ind w:left="3262" w:hanging="360"/>
      </w:pPr>
      <w:rPr>
        <w:rFonts w:ascii="Courier New" w:hAnsi="Courier New" w:cs="Courier New" w:hint="default"/>
      </w:rPr>
    </w:lvl>
    <w:lvl w:ilvl="2" w:tplc="04070005">
      <w:start w:val="1"/>
      <w:numFmt w:val="bullet"/>
      <w:lvlText w:val=""/>
      <w:lvlJc w:val="left"/>
      <w:pPr>
        <w:tabs>
          <w:tab w:val="num" w:pos="3982"/>
        </w:tabs>
        <w:ind w:left="3982" w:hanging="360"/>
      </w:pPr>
      <w:rPr>
        <w:rFonts w:ascii="Wingdings" w:hAnsi="Wingdings" w:hint="default"/>
      </w:rPr>
    </w:lvl>
    <w:lvl w:ilvl="3" w:tplc="04070001">
      <w:start w:val="1"/>
      <w:numFmt w:val="bullet"/>
      <w:lvlText w:val=""/>
      <w:lvlJc w:val="left"/>
      <w:pPr>
        <w:tabs>
          <w:tab w:val="num" w:pos="4702"/>
        </w:tabs>
        <w:ind w:left="4702" w:hanging="360"/>
      </w:pPr>
      <w:rPr>
        <w:rFonts w:ascii="Symbol" w:hAnsi="Symbol" w:hint="default"/>
      </w:rPr>
    </w:lvl>
    <w:lvl w:ilvl="4" w:tplc="04070003" w:tentative="1">
      <w:start w:val="1"/>
      <w:numFmt w:val="bullet"/>
      <w:lvlText w:val="o"/>
      <w:lvlJc w:val="left"/>
      <w:pPr>
        <w:tabs>
          <w:tab w:val="num" w:pos="5422"/>
        </w:tabs>
        <w:ind w:left="5422" w:hanging="360"/>
      </w:pPr>
      <w:rPr>
        <w:rFonts w:ascii="Courier New" w:hAnsi="Courier New" w:cs="Courier New" w:hint="default"/>
      </w:rPr>
    </w:lvl>
    <w:lvl w:ilvl="5" w:tplc="04070005" w:tentative="1">
      <w:start w:val="1"/>
      <w:numFmt w:val="bullet"/>
      <w:lvlText w:val=""/>
      <w:lvlJc w:val="left"/>
      <w:pPr>
        <w:tabs>
          <w:tab w:val="num" w:pos="6142"/>
        </w:tabs>
        <w:ind w:left="6142" w:hanging="360"/>
      </w:pPr>
      <w:rPr>
        <w:rFonts w:ascii="Wingdings" w:hAnsi="Wingdings" w:hint="default"/>
      </w:rPr>
    </w:lvl>
    <w:lvl w:ilvl="6" w:tplc="04070001" w:tentative="1">
      <w:start w:val="1"/>
      <w:numFmt w:val="bullet"/>
      <w:lvlText w:val=""/>
      <w:lvlJc w:val="left"/>
      <w:pPr>
        <w:tabs>
          <w:tab w:val="num" w:pos="6862"/>
        </w:tabs>
        <w:ind w:left="6862" w:hanging="360"/>
      </w:pPr>
      <w:rPr>
        <w:rFonts w:ascii="Symbol" w:hAnsi="Symbol" w:hint="default"/>
      </w:rPr>
    </w:lvl>
    <w:lvl w:ilvl="7" w:tplc="04070003" w:tentative="1">
      <w:start w:val="1"/>
      <w:numFmt w:val="bullet"/>
      <w:lvlText w:val="o"/>
      <w:lvlJc w:val="left"/>
      <w:pPr>
        <w:tabs>
          <w:tab w:val="num" w:pos="7582"/>
        </w:tabs>
        <w:ind w:left="7582" w:hanging="360"/>
      </w:pPr>
      <w:rPr>
        <w:rFonts w:ascii="Courier New" w:hAnsi="Courier New" w:cs="Courier New" w:hint="default"/>
      </w:rPr>
    </w:lvl>
    <w:lvl w:ilvl="8" w:tplc="04070005" w:tentative="1">
      <w:start w:val="1"/>
      <w:numFmt w:val="bullet"/>
      <w:lvlText w:val=""/>
      <w:lvlJc w:val="left"/>
      <w:pPr>
        <w:tabs>
          <w:tab w:val="num" w:pos="8302"/>
        </w:tabs>
        <w:ind w:left="8302" w:hanging="360"/>
      </w:pPr>
      <w:rPr>
        <w:rFonts w:ascii="Wingdings" w:hAnsi="Wingdings" w:hint="default"/>
      </w:rPr>
    </w:lvl>
  </w:abstractNum>
  <w:abstractNum w:abstractNumId="36" w15:restartNumberingAfterBreak="0">
    <w:nsid w:val="7CE93886"/>
    <w:multiLevelType w:val="hybridMultilevel"/>
    <w:tmpl w:val="57804A4E"/>
    <w:lvl w:ilvl="0" w:tplc="EA1CBB9C">
      <w:start w:val="1"/>
      <w:numFmt w:val="bullet"/>
      <w:lvlText w:val=""/>
      <w:lvlJc w:val="left"/>
      <w:pPr>
        <w:ind w:left="720" w:hanging="360"/>
      </w:pPr>
      <w:rPr>
        <w:rFonts w:ascii="Wingdings" w:hAnsi="Wingdings" w:hint="default"/>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E7DFA"/>
    <w:multiLevelType w:val="hybridMultilevel"/>
    <w:tmpl w:val="7EC8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2"/>
  </w:num>
  <w:num w:numId="4">
    <w:abstractNumId w:val="5"/>
  </w:num>
  <w:num w:numId="5">
    <w:abstractNumId w:val="33"/>
  </w:num>
  <w:num w:numId="6">
    <w:abstractNumId w:val="3"/>
  </w:num>
  <w:num w:numId="7">
    <w:abstractNumId w:val="15"/>
  </w:num>
  <w:num w:numId="8">
    <w:abstractNumId w:val="16"/>
  </w:num>
  <w:num w:numId="9">
    <w:abstractNumId w:val="30"/>
  </w:num>
  <w:num w:numId="10">
    <w:abstractNumId w:val="37"/>
  </w:num>
  <w:num w:numId="11">
    <w:abstractNumId w:val="28"/>
  </w:num>
  <w:num w:numId="12">
    <w:abstractNumId w:val="26"/>
  </w:num>
  <w:num w:numId="13">
    <w:abstractNumId w:val="19"/>
  </w:num>
  <w:num w:numId="14">
    <w:abstractNumId w:val="6"/>
  </w:num>
  <w:num w:numId="15">
    <w:abstractNumId w:val="20"/>
  </w:num>
  <w:num w:numId="16">
    <w:abstractNumId w:val="27"/>
  </w:num>
  <w:num w:numId="17">
    <w:abstractNumId w:val="9"/>
  </w:num>
  <w:num w:numId="18">
    <w:abstractNumId w:val="34"/>
  </w:num>
  <w:num w:numId="19">
    <w:abstractNumId w:val="32"/>
  </w:num>
  <w:num w:numId="20">
    <w:abstractNumId w:val="0"/>
  </w:num>
  <w:num w:numId="21">
    <w:abstractNumId w:val="7"/>
  </w:num>
  <w:num w:numId="22">
    <w:abstractNumId w:val="2"/>
  </w:num>
  <w:num w:numId="23">
    <w:abstractNumId w:val="21"/>
  </w:num>
  <w:num w:numId="24">
    <w:abstractNumId w:val="31"/>
  </w:num>
  <w:num w:numId="25">
    <w:abstractNumId w:val="14"/>
  </w:num>
  <w:num w:numId="26">
    <w:abstractNumId w:val="12"/>
  </w:num>
  <w:num w:numId="27">
    <w:abstractNumId w:val="8"/>
  </w:num>
  <w:num w:numId="28">
    <w:abstractNumId w:val="18"/>
  </w:num>
  <w:num w:numId="29">
    <w:abstractNumId w:val="36"/>
  </w:num>
  <w:num w:numId="30">
    <w:abstractNumId w:val="1"/>
  </w:num>
  <w:num w:numId="31">
    <w:abstractNumId w:val="13"/>
  </w:num>
  <w:num w:numId="32">
    <w:abstractNumId w:val="11"/>
  </w:num>
  <w:num w:numId="33">
    <w:abstractNumId w:val="35"/>
  </w:num>
  <w:num w:numId="34">
    <w:abstractNumId w:val="4"/>
  </w:num>
  <w:num w:numId="35">
    <w:abstractNumId w:val="10"/>
  </w:num>
  <w:num w:numId="36">
    <w:abstractNumId w:val="23"/>
  </w:num>
  <w:num w:numId="37">
    <w:abstractNumId w:val="29"/>
  </w:num>
  <w:num w:numId="38">
    <w:abstractNumId w:val="17"/>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C5"/>
    <w:rsid w:val="00002A2F"/>
    <w:rsid w:val="00003E6D"/>
    <w:rsid w:val="00022A18"/>
    <w:rsid w:val="0002532F"/>
    <w:rsid w:val="000255F7"/>
    <w:rsid w:val="00026452"/>
    <w:rsid w:val="000371C4"/>
    <w:rsid w:val="00042026"/>
    <w:rsid w:val="00042B21"/>
    <w:rsid w:val="00054A88"/>
    <w:rsid w:val="000566AD"/>
    <w:rsid w:val="000755F0"/>
    <w:rsid w:val="00083DAD"/>
    <w:rsid w:val="00087101"/>
    <w:rsid w:val="00091D20"/>
    <w:rsid w:val="000A0A7A"/>
    <w:rsid w:val="000A3343"/>
    <w:rsid w:val="000A578E"/>
    <w:rsid w:val="000A6792"/>
    <w:rsid w:val="000B43F3"/>
    <w:rsid w:val="000B74CB"/>
    <w:rsid w:val="000C0313"/>
    <w:rsid w:val="000C2C31"/>
    <w:rsid w:val="000C49BF"/>
    <w:rsid w:val="000E2D66"/>
    <w:rsid w:val="000F2E12"/>
    <w:rsid w:val="000F3712"/>
    <w:rsid w:val="000F653A"/>
    <w:rsid w:val="000F7CEA"/>
    <w:rsid w:val="00102B4B"/>
    <w:rsid w:val="00103D6A"/>
    <w:rsid w:val="00106D90"/>
    <w:rsid w:val="00110714"/>
    <w:rsid w:val="00114A41"/>
    <w:rsid w:val="00115D9B"/>
    <w:rsid w:val="00116269"/>
    <w:rsid w:val="00132948"/>
    <w:rsid w:val="001333FF"/>
    <w:rsid w:val="00135FAF"/>
    <w:rsid w:val="00136F7E"/>
    <w:rsid w:val="001530D9"/>
    <w:rsid w:val="00154EE7"/>
    <w:rsid w:val="00155FFA"/>
    <w:rsid w:val="001560E0"/>
    <w:rsid w:val="00164001"/>
    <w:rsid w:val="001649E8"/>
    <w:rsid w:val="00182C90"/>
    <w:rsid w:val="00190BB3"/>
    <w:rsid w:val="0019596E"/>
    <w:rsid w:val="001A34B6"/>
    <w:rsid w:val="001C087B"/>
    <w:rsid w:val="001C2C7F"/>
    <w:rsid w:val="001D0817"/>
    <w:rsid w:val="001E2338"/>
    <w:rsid w:val="001E34AB"/>
    <w:rsid w:val="001E36C2"/>
    <w:rsid w:val="001F3B10"/>
    <w:rsid w:val="00203FE0"/>
    <w:rsid w:val="00205C0B"/>
    <w:rsid w:val="0021470E"/>
    <w:rsid w:val="00214F66"/>
    <w:rsid w:val="00217EDB"/>
    <w:rsid w:val="00227039"/>
    <w:rsid w:val="0023223A"/>
    <w:rsid w:val="00234F3D"/>
    <w:rsid w:val="00240E91"/>
    <w:rsid w:val="002411B9"/>
    <w:rsid w:val="00245272"/>
    <w:rsid w:val="002458EF"/>
    <w:rsid w:val="00251606"/>
    <w:rsid w:val="002545DC"/>
    <w:rsid w:val="00254F1D"/>
    <w:rsid w:val="002627AE"/>
    <w:rsid w:val="00264ACC"/>
    <w:rsid w:val="00267536"/>
    <w:rsid w:val="002705C2"/>
    <w:rsid w:val="002712B5"/>
    <w:rsid w:val="00294A29"/>
    <w:rsid w:val="002A2E9D"/>
    <w:rsid w:val="002A4892"/>
    <w:rsid w:val="002B11AB"/>
    <w:rsid w:val="002B5B38"/>
    <w:rsid w:val="002C02D8"/>
    <w:rsid w:val="002C1D79"/>
    <w:rsid w:val="002C74EC"/>
    <w:rsid w:val="002D30AE"/>
    <w:rsid w:val="002D4B12"/>
    <w:rsid w:val="002E3FCC"/>
    <w:rsid w:val="002F04AB"/>
    <w:rsid w:val="002F6CAE"/>
    <w:rsid w:val="002F7A9A"/>
    <w:rsid w:val="002F7DA5"/>
    <w:rsid w:val="00301BA2"/>
    <w:rsid w:val="00303D62"/>
    <w:rsid w:val="003051B3"/>
    <w:rsid w:val="00307015"/>
    <w:rsid w:val="00307F26"/>
    <w:rsid w:val="003157C7"/>
    <w:rsid w:val="00324D77"/>
    <w:rsid w:val="00326689"/>
    <w:rsid w:val="003300F2"/>
    <w:rsid w:val="00333BAB"/>
    <w:rsid w:val="003402B4"/>
    <w:rsid w:val="003437C2"/>
    <w:rsid w:val="003619E0"/>
    <w:rsid w:val="00362A28"/>
    <w:rsid w:val="00365901"/>
    <w:rsid w:val="00365C09"/>
    <w:rsid w:val="00373C9B"/>
    <w:rsid w:val="00383DAC"/>
    <w:rsid w:val="003B694F"/>
    <w:rsid w:val="003C19A6"/>
    <w:rsid w:val="003C27D8"/>
    <w:rsid w:val="003D1365"/>
    <w:rsid w:val="003D3A91"/>
    <w:rsid w:val="003D5B0C"/>
    <w:rsid w:val="003E0891"/>
    <w:rsid w:val="003F5CF1"/>
    <w:rsid w:val="003F6320"/>
    <w:rsid w:val="003F78CB"/>
    <w:rsid w:val="00401D77"/>
    <w:rsid w:val="004021E1"/>
    <w:rsid w:val="004022BF"/>
    <w:rsid w:val="00404DAA"/>
    <w:rsid w:val="00406284"/>
    <w:rsid w:val="004063DC"/>
    <w:rsid w:val="00407708"/>
    <w:rsid w:val="004164A1"/>
    <w:rsid w:val="00417DEA"/>
    <w:rsid w:val="00421D5C"/>
    <w:rsid w:val="004221A2"/>
    <w:rsid w:val="0042779F"/>
    <w:rsid w:val="00447098"/>
    <w:rsid w:val="00450DCF"/>
    <w:rsid w:val="00457685"/>
    <w:rsid w:val="0046711A"/>
    <w:rsid w:val="0046774E"/>
    <w:rsid w:val="00470C52"/>
    <w:rsid w:val="00472367"/>
    <w:rsid w:val="0047503C"/>
    <w:rsid w:val="004750EF"/>
    <w:rsid w:val="00494930"/>
    <w:rsid w:val="004A0DE9"/>
    <w:rsid w:val="004A40DB"/>
    <w:rsid w:val="004B24CC"/>
    <w:rsid w:val="004B76BA"/>
    <w:rsid w:val="004B78BF"/>
    <w:rsid w:val="004C1313"/>
    <w:rsid w:val="004C4FFB"/>
    <w:rsid w:val="004C5979"/>
    <w:rsid w:val="004D4039"/>
    <w:rsid w:val="004D552B"/>
    <w:rsid w:val="004D6A3E"/>
    <w:rsid w:val="004E0AE2"/>
    <w:rsid w:val="004E5724"/>
    <w:rsid w:val="004E7B10"/>
    <w:rsid w:val="004F2E57"/>
    <w:rsid w:val="004F3571"/>
    <w:rsid w:val="004F4EBD"/>
    <w:rsid w:val="004F5F1C"/>
    <w:rsid w:val="00502943"/>
    <w:rsid w:val="005042A6"/>
    <w:rsid w:val="00506B4A"/>
    <w:rsid w:val="005078E2"/>
    <w:rsid w:val="00513679"/>
    <w:rsid w:val="00516007"/>
    <w:rsid w:val="00523B0B"/>
    <w:rsid w:val="005252C0"/>
    <w:rsid w:val="00530839"/>
    <w:rsid w:val="00534A29"/>
    <w:rsid w:val="00541517"/>
    <w:rsid w:val="0054757E"/>
    <w:rsid w:val="00557270"/>
    <w:rsid w:val="00560D8C"/>
    <w:rsid w:val="00563B4E"/>
    <w:rsid w:val="0056420A"/>
    <w:rsid w:val="005646B8"/>
    <w:rsid w:val="00566E12"/>
    <w:rsid w:val="00574639"/>
    <w:rsid w:val="00574A8C"/>
    <w:rsid w:val="005767C8"/>
    <w:rsid w:val="00576803"/>
    <w:rsid w:val="00576D19"/>
    <w:rsid w:val="00577E2F"/>
    <w:rsid w:val="005957CD"/>
    <w:rsid w:val="005A3926"/>
    <w:rsid w:val="005A5252"/>
    <w:rsid w:val="005A6694"/>
    <w:rsid w:val="005B074B"/>
    <w:rsid w:val="005B0BBE"/>
    <w:rsid w:val="005B3292"/>
    <w:rsid w:val="005B377F"/>
    <w:rsid w:val="005B6060"/>
    <w:rsid w:val="005C0EFB"/>
    <w:rsid w:val="005C0F70"/>
    <w:rsid w:val="005D0BA8"/>
    <w:rsid w:val="005D0CA6"/>
    <w:rsid w:val="005D1921"/>
    <w:rsid w:val="005E7D6B"/>
    <w:rsid w:val="005F3D18"/>
    <w:rsid w:val="005F780D"/>
    <w:rsid w:val="005F7D14"/>
    <w:rsid w:val="00600D58"/>
    <w:rsid w:val="00606C1E"/>
    <w:rsid w:val="00611191"/>
    <w:rsid w:val="0061149D"/>
    <w:rsid w:val="00616F9A"/>
    <w:rsid w:val="006253E9"/>
    <w:rsid w:val="0063152A"/>
    <w:rsid w:val="0063248A"/>
    <w:rsid w:val="00635CF9"/>
    <w:rsid w:val="006449D2"/>
    <w:rsid w:val="00660704"/>
    <w:rsid w:val="00662477"/>
    <w:rsid w:val="0067261B"/>
    <w:rsid w:val="00672CAB"/>
    <w:rsid w:val="00673BB9"/>
    <w:rsid w:val="00682853"/>
    <w:rsid w:val="00684056"/>
    <w:rsid w:val="00686CBB"/>
    <w:rsid w:val="00691C1F"/>
    <w:rsid w:val="00693F24"/>
    <w:rsid w:val="00695282"/>
    <w:rsid w:val="006A3598"/>
    <w:rsid w:val="006B4B14"/>
    <w:rsid w:val="006D1608"/>
    <w:rsid w:val="006D2A4E"/>
    <w:rsid w:val="006D2D7F"/>
    <w:rsid w:val="006D6256"/>
    <w:rsid w:val="006E503C"/>
    <w:rsid w:val="006E695A"/>
    <w:rsid w:val="006E6C37"/>
    <w:rsid w:val="006F2737"/>
    <w:rsid w:val="006F467B"/>
    <w:rsid w:val="006F5FE6"/>
    <w:rsid w:val="007010B5"/>
    <w:rsid w:val="00706BC3"/>
    <w:rsid w:val="00713156"/>
    <w:rsid w:val="00736E27"/>
    <w:rsid w:val="0074073A"/>
    <w:rsid w:val="00741976"/>
    <w:rsid w:val="007458BF"/>
    <w:rsid w:val="007605DF"/>
    <w:rsid w:val="007611C2"/>
    <w:rsid w:val="0076570F"/>
    <w:rsid w:val="00766607"/>
    <w:rsid w:val="00766DFD"/>
    <w:rsid w:val="00766E3A"/>
    <w:rsid w:val="007679EE"/>
    <w:rsid w:val="00767FEC"/>
    <w:rsid w:val="00780CC7"/>
    <w:rsid w:val="00781CB6"/>
    <w:rsid w:val="00784126"/>
    <w:rsid w:val="00791FA4"/>
    <w:rsid w:val="00794620"/>
    <w:rsid w:val="00794EBE"/>
    <w:rsid w:val="00795AB2"/>
    <w:rsid w:val="007A2B49"/>
    <w:rsid w:val="007B3B80"/>
    <w:rsid w:val="007C2D7F"/>
    <w:rsid w:val="007C5594"/>
    <w:rsid w:val="007D40A4"/>
    <w:rsid w:val="007E64D0"/>
    <w:rsid w:val="007F01E6"/>
    <w:rsid w:val="007F37EB"/>
    <w:rsid w:val="0080020D"/>
    <w:rsid w:val="00800FB5"/>
    <w:rsid w:val="00801A7F"/>
    <w:rsid w:val="00802E98"/>
    <w:rsid w:val="008034A7"/>
    <w:rsid w:val="008057AE"/>
    <w:rsid w:val="008107C7"/>
    <w:rsid w:val="00811649"/>
    <w:rsid w:val="00822803"/>
    <w:rsid w:val="00822D86"/>
    <w:rsid w:val="00825D0F"/>
    <w:rsid w:val="00833705"/>
    <w:rsid w:val="0084139C"/>
    <w:rsid w:val="008441F1"/>
    <w:rsid w:val="00844448"/>
    <w:rsid w:val="008468CA"/>
    <w:rsid w:val="00852C70"/>
    <w:rsid w:val="008617F9"/>
    <w:rsid w:val="00862C03"/>
    <w:rsid w:val="00865DFA"/>
    <w:rsid w:val="00875811"/>
    <w:rsid w:val="008807B9"/>
    <w:rsid w:val="008930AC"/>
    <w:rsid w:val="00897882"/>
    <w:rsid w:val="008A5B90"/>
    <w:rsid w:val="008B1E9A"/>
    <w:rsid w:val="008B43EE"/>
    <w:rsid w:val="008B50A4"/>
    <w:rsid w:val="008C58BF"/>
    <w:rsid w:val="008C6581"/>
    <w:rsid w:val="008C795A"/>
    <w:rsid w:val="008D6BAB"/>
    <w:rsid w:val="008E0DDF"/>
    <w:rsid w:val="008E3B64"/>
    <w:rsid w:val="008F449A"/>
    <w:rsid w:val="009166CC"/>
    <w:rsid w:val="0091797B"/>
    <w:rsid w:val="00920205"/>
    <w:rsid w:val="009217E8"/>
    <w:rsid w:val="00922435"/>
    <w:rsid w:val="00923010"/>
    <w:rsid w:val="009306E5"/>
    <w:rsid w:val="0093386A"/>
    <w:rsid w:val="00941A04"/>
    <w:rsid w:val="00943708"/>
    <w:rsid w:val="0095456F"/>
    <w:rsid w:val="009606ED"/>
    <w:rsid w:val="00961ABA"/>
    <w:rsid w:val="00971B52"/>
    <w:rsid w:val="00975992"/>
    <w:rsid w:val="009809BE"/>
    <w:rsid w:val="00985161"/>
    <w:rsid w:val="009900C3"/>
    <w:rsid w:val="00990F7E"/>
    <w:rsid w:val="009949B8"/>
    <w:rsid w:val="009964E9"/>
    <w:rsid w:val="009A6C20"/>
    <w:rsid w:val="009B0FCD"/>
    <w:rsid w:val="009B10C3"/>
    <w:rsid w:val="009B3357"/>
    <w:rsid w:val="009B6B8F"/>
    <w:rsid w:val="009C0ABB"/>
    <w:rsid w:val="009C51B7"/>
    <w:rsid w:val="009D2A52"/>
    <w:rsid w:val="009D3DDB"/>
    <w:rsid w:val="009D4587"/>
    <w:rsid w:val="009E0449"/>
    <w:rsid w:val="009E34BE"/>
    <w:rsid w:val="009F2294"/>
    <w:rsid w:val="009F4E33"/>
    <w:rsid w:val="009F57A1"/>
    <w:rsid w:val="00A014E7"/>
    <w:rsid w:val="00A03A39"/>
    <w:rsid w:val="00A047AC"/>
    <w:rsid w:val="00A20DF7"/>
    <w:rsid w:val="00A3057C"/>
    <w:rsid w:val="00A3168E"/>
    <w:rsid w:val="00A31D79"/>
    <w:rsid w:val="00A3456D"/>
    <w:rsid w:val="00A36E3A"/>
    <w:rsid w:val="00A408B8"/>
    <w:rsid w:val="00A41F11"/>
    <w:rsid w:val="00A432CA"/>
    <w:rsid w:val="00A5052B"/>
    <w:rsid w:val="00A53C27"/>
    <w:rsid w:val="00A53FD5"/>
    <w:rsid w:val="00A62CA0"/>
    <w:rsid w:val="00A70303"/>
    <w:rsid w:val="00A77E3D"/>
    <w:rsid w:val="00A83D1E"/>
    <w:rsid w:val="00A84035"/>
    <w:rsid w:val="00A85256"/>
    <w:rsid w:val="00A85490"/>
    <w:rsid w:val="00A86613"/>
    <w:rsid w:val="00A866EC"/>
    <w:rsid w:val="00AA429E"/>
    <w:rsid w:val="00AA75DE"/>
    <w:rsid w:val="00AA7AC0"/>
    <w:rsid w:val="00AB02AD"/>
    <w:rsid w:val="00AB0872"/>
    <w:rsid w:val="00AC2EF7"/>
    <w:rsid w:val="00AC78FC"/>
    <w:rsid w:val="00AC7990"/>
    <w:rsid w:val="00AD34BF"/>
    <w:rsid w:val="00AD3A18"/>
    <w:rsid w:val="00AD6886"/>
    <w:rsid w:val="00AD6949"/>
    <w:rsid w:val="00AF51F7"/>
    <w:rsid w:val="00B0217D"/>
    <w:rsid w:val="00B1277B"/>
    <w:rsid w:val="00B140DC"/>
    <w:rsid w:val="00B2184F"/>
    <w:rsid w:val="00B235AB"/>
    <w:rsid w:val="00B24646"/>
    <w:rsid w:val="00B30F77"/>
    <w:rsid w:val="00B34F45"/>
    <w:rsid w:val="00B35700"/>
    <w:rsid w:val="00B419E3"/>
    <w:rsid w:val="00B50832"/>
    <w:rsid w:val="00B63E6E"/>
    <w:rsid w:val="00B64458"/>
    <w:rsid w:val="00B70B0B"/>
    <w:rsid w:val="00B71048"/>
    <w:rsid w:val="00B731E3"/>
    <w:rsid w:val="00BA21F5"/>
    <w:rsid w:val="00BB0AFA"/>
    <w:rsid w:val="00BB2829"/>
    <w:rsid w:val="00BC0802"/>
    <w:rsid w:val="00BC0F86"/>
    <w:rsid w:val="00BC1011"/>
    <w:rsid w:val="00BE019B"/>
    <w:rsid w:val="00BE3311"/>
    <w:rsid w:val="00BE6916"/>
    <w:rsid w:val="00BE71D0"/>
    <w:rsid w:val="00BF4AAC"/>
    <w:rsid w:val="00C00455"/>
    <w:rsid w:val="00C01EC9"/>
    <w:rsid w:val="00C06639"/>
    <w:rsid w:val="00C10D6C"/>
    <w:rsid w:val="00C115CC"/>
    <w:rsid w:val="00C11C23"/>
    <w:rsid w:val="00C17609"/>
    <w:rsid w:val="00C22645"/>
    <w:rsid w:val="00C26C52"/>
    <w:rsid w:val="00C26FD7"/>
    <w:rsid w:val="00C30DBF"/>
    <w:rsid w:val="00C348CE"/>
    <w:rsid w:val="00C34958"/>
    <w:rsid w:val="00C36396"/>
    <w:rsid w:val="00C373F9"/>
    <w:rsid w:val="00C40729"/>
    <w:rsid w:val="00C47C23"/>
    <w:rsid w:val="00C50284"/>
    <w:rsid w:val="00C60AA5"/>
    <w:rsid w:val="00C72AA3"/>
    <w:rsid w:val="00C75310"/>
    <w:rsid w:val="00C80113"/>
    <w:rsid w:val="00C81B7F"/>
    <w:rsid w:val="00C82FF1"/>
    <w:rsid w:val="00C83174"/>
    <w:rsid w:val="00C900D8"/>
    <w:rsid w:val="00CA23C9"/>
    <w:rsid w:val="00CA6A9E"/>
    <w:rsid w:val="00CB46DE"/>
    <w:rsid w:val="00CB750A"/>
    <w:rsid w:val="00CC16B7"/>
    <w:rsid w:val="00CC2EF1"/>
    <w:rsid w:val="00CC3E64"/>
    <w:rsid w:val="00CC4A5A"/>
    <w:rsid w:val="00CD03C7"/>
    <w:rsid w:val="00CD37C9"/>
    <w:rsid w:val="00CD3A96"/>
    <w:rsid w:val="00CE1734"/>
    <w:rsid w:val="00CE1992"/>
    <w:rsid w:val="00CE4E2C"/>
    <w:rsid w:val="00CE6DE7"/>
    <w:rsid w:val="00CE72F0"/>
    <w:rsid w:val="00CE7832"/>
    <w:rsid w:val="00CF1959"/>
    <w:rsid w:val="00CF3246"/>
    <w:rsid w:val="00CF65C5"/>
    <w:rsid w:val="00D027C5"/>
    <w:rsid w:val="00D03F4C"/>
    <w:rsid w:val="00D06E59"/>
    <w:rsid w:val="00D12156"/>
    <w:rsid w:val="00D1246D"/>
    <w:rsid w:val="00D13E52"/>
    <w:rsid w:val="00D259FF"/>
    <w:rsid w:val="00D267DF"/>
    <w:rsid w:val="00D301FC"/>
    <w:rsid w:val="00D357D9"/>
    <w:rsid w:val="00D37EB7"/>
    <w:rsid w:val="00D413A6"/>
    <w:rsid w:val="00D45799"/>
    <w:rsid w:val="00D51DD0"/>
    <w:rsid w:val="00D53120"/>
    <w:rsid w:val="00D5612D"/>
    <w:rsid w:val="00D5789A"/>
    <w:rsid w:val="00D60195"/>
    <w:rsid w:val="00D70473"/>
    <w:rsid w:val="00D74385"/>
    <w:rsid w:val="00D76F8D"/>
    <w:rsid w:val="00D80D87"/>
    <w:rsid w:val="00D94024"/>
    <w:rsid w:val="00DA15CA"/>
    <w:rsid w:val="00DA7300"/>
    <w:rsid w:val="00DB0136"/>
    <w:rsid w:val="00DC258F"/>
    <w:rsid w:val="00DC5E25"/>
    <w:rsid w:val="00DC6676"/>
    <w:rsid w:val="00DC6833"/>
    <w:rsid w:val="00DC743D"/>
    <w:rsid w:val="00DD40D0"/>
    <w:rsid w:val="00DD6B87"/>
    <w:rsid w:val="00DE285C"/>
    <w:rsid w:val="00DE34E7"/>
    <w:rsid w:val="00DF1598"/>
    <w:rsid w:val="00DF4D87"/>
    <w:rsid w:val="00E04164"/>
    <w:rsid w:val="00E10C8E"/>
    <w:rsid w:val="00E13DE8"/>
    <w:rsid w:val="00E15DF3"/>
    <w:rsid w:val="00E27F0B"/>
    <w:rsid w:val="00E37AD9"/>
    <w:rsid w:val="00E63199"/>
    <w:rsid w:val="00E66F0B"/>
    <w:rsid w:val="00E74B98"/>
    <w:rsid w:val="00E851BD"/>
    <w:rsid w:val="00E91B6C"/>
    <w:rsid w:val="00EA4898"/>
    <w:rsid w:val="00EB4430"/>
    <w:rsid w:val="00EB6434"/>
    <w:rsid w:val="00EC10F6"/>
    <w:rsid w:val="00EC13A1"/>
    <w:rsid w:val="00EC1870"/>
    <w:rsid w:val="00EC2A0E"/>
    <w:rsid w:val="00ED6747"/>
    <w:rsid w:val="00ED7186"/>
    <w:rsid w:val="00F11247"/>
    <w:rsid w:val="00F24AC6"/>
    <w:rsid w:val="00F26AD0"/>
    <w:rsid w:val="00F27A96"/>
    <w:rsid w:val="00F309E3"/>
    <w:rsid w:val="00F30ACD"/>
    <w:rsid w:val="00F357C0"/>
    <w:rsid w:val="00F35D1D"/>
    <w:rsid w:val="00F3708D"/>
    <w:rsid w:val="00F4220E"/>
    <w:rsid w:val="00F439DF"/>
    <w:rsid w:val="00F51DA1"/>
    <w:rsid w:val="00F5412B"/>
    <w:rsid w:val="00F5652E"/>
    <w:rsid w:val="00F57595"/>
    <w:rsid w:val="00F61995"/>
    <w:rsid w:val="00F708CA"/>
    <w:rsid w:val="00F82F32"/>
    <w:rsid w:val="00F9155F"/>
    <w:rsid w:val="00F92768"/>
    <w:rsid w:val="00F96C49"/>
    <w:rsid w:val="00FA122E"/>
    <w:rsid w:val="00FB3EB5"/>
    <w:rsid w:val="00FB6294"/>
    <w:rsid w:val="00FB6F04"/>
    <w:rsid w:val="00FE0D00"/>
    <w:rsid w:val="00FE22F4"/>
    <w:rsid w:val="00FE3090"/>
    <w:rsid w:val="00FE314A"/>
    <w:rsid w:val="00FE48E7"/>
    <w:rsid w:val="00FF2841"/>
    <w:rsid w:val="00FF36A2"/>
    <w:rsid w:val="00FF3A94"/>
    <w:rsid w:val="00FF6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6091F4"/>
  <w15:docId w15:val="{CB7856C1-36FC-4260-8F46-98C95B6C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de-DE" w:eastAsia="de-DE"/>
    </w:rPr>
  </w:style>
  <w:style w:type="paragraph" w:styleId="Heading1">
    <w:name w:val="heading 1"/>
    <w:basedOn w:val="Normal"/>
    <w:next w:val="Normal"/>
    <w:qFormat/>
    <w:pPr>
      <w:keepNext/>
      <w:spacing w:before="120" w:line="240" w:lineRule="exact"/>
      <w:outlineLvl w:val="0"/>
    </w:pPr>
    <w:rPr>
      <w:rFonts w:ascii="Arial" w:hAnsi="Arial"/>
      <w:sz w:val="24"/>
    </w:rPr>
  </w:style>
  <w:style w:type="paragraph" w:styleId="Heading2">
    <w:name w:val="heading 2"/>
    <w:basedOn w:val="Normal"/>
    <w:next w:val="Normal"/>
    <w:qFormat/>
    <w:pPr>
      <w:keepNext/>
      <w:spacing w:line="240" w:lineRule="exact"/>
      <w:ind w:left="3538" w:hanging="3538"/>
      <w:outlineLvl w:val="1"/>
    </w:pPr>
    <w:rPr>
      <w:rFonts w:ascii="Arial" w:hAnsi="Arial"/>
      <w:sz w:val="24"/>
    </w:rPr>
  </w:style>
  <w:style w:type="paragraph" w:styleId="Heading3">
    <w:name w:val="heading 3"/>
    <w:basedOn w:val="Normal"/>
    <w:next w:val="Normal"/>
    <w:qFormat/>
    <w:pPr>
      <w:keepNext/>
      <w:spacing w:before="120" w:line="240" w:lineRule="exact"/>
      <w:outlineLvl w:val="2"/>
    </w:pPr>
    <w:rPr>
      <w:rFonts w:ascii="Arial" w:hAnsi="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120" w:line="240" w:lineRule="exact"/>
      <w:jc w:val="center"/>
    </w:pPr>
    <w:rPr>
      <w:rFonts w:ascii="Arial" w:hAnsi="Arial"/>
      <w:b/>
      <w:caps/>
      <w:sz w:val="24"/>
    </w:rPr>
  </w:style>
  <w:style w:type="paragraph" w:styleId="BodyTextIndent">
    <w:name w:val="Body Text Indent"/>
    <w:basedOn w:val="Normal"/>
    <w:pPr>
      <w:spacing w:before="120"/>
      <w:ind w:left="3540" w:hanging="3540"/>
    </w:pPr>
    <w:rPr>
      <w:rFonts w:ascii="Arial" w:hAnsi="Arial"/>
      <w:sz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pPr>
      <w:tabs>
        <w:tab w:val="center" w:pos="4536"/>
        <w:tab w:val="right" w:pos="9072"/>
      </w:tabs>
    </w:pPr>
  </w:style>
  <w:style w:type="paragraph" w:styleId="BodyText">
    <w:name w:val="Body Text"/>
    <w:basedOn w:val="Normal"/>
    <w:pPr>
      <w:spacing w:before="120"/>
    </w:pPr>
    <w:rPr>
      <w:sz w:val="24"/>
    </w:rPr>
  </w:style>
  <w:style w:type="paragraph" w:styleId="BodyTextIndent3">
    <w:name w:val="Body Text Indent 3"/>
    <w:basedOn w:val="Normal"/>
    <w:rsid w:val="00CF65C5"/>
    <w:pPr>
      <w:spacing w:after="120"/>
      <w:ind w:left="283"/>
    </w:pPr>
    <w:rPr>
      <w:sz w:val="16"/>
      <w:szCs w:val="16"/>
    </w:rPr>
  </w:style>
  <w:style w:type="paragraph" w:styleId="BalloonText">
    <w:name w:val="Balloon Text"/>
    <w:basedOn w:val="Normal"/>
    <w:semiHidden/>
    <w:rsid w:val="00136F7E"/>
    <w:rPr>
      <w:rFonts w:ascii="Tahoma" w:hAnsi="Tahoma" w:cs="Tahoma"/>
      <w:sz w:val="16"/>
      <w:szCs w:val="16"/>
    </w:rPr>
  </w:style>
  <w:style w:type="character" w:styleId="PageNumber">
    <w:name w:val="page number"/>
    <w:basedOn w:val="DefaultParagraphFont"/>
    <w:rsid w:val="000566AD"/>
  </w:style>
  <w:style w:type="character" w:styleId="Hyperlink">
    <w:name w:val="Hyperlink"/>
    <w:rsid w:val="00825D0F"/>
    <w:rPr>
      <w:color w:val="0000FF"/>
      <w:u w:val="single"/>
    </w:rPr>
  </w:style>
  <w:style w:type="paragraph" w:styleId="BodyTextIndent2">
    <w:name w:val="Body Text Indent 2"/>
    <w:basedOn w:val="Normal"/>
    <w:rsid w:val="00922435"/>
    <w:pPr>
      <w:spacing w:after="120" w:line="480" w:lineRule="auto"/>
      <w:ind w:left="283"/>
    </w:pPr>
  </w:style>
  <w:style w:type="paragraph" w:styleId="BodyText3">
    <w:name w:val="Body Text 3"/>
    <w:basedOn w:val="Normal"/>
    <w:rsid w:val="00922435"/>
    <w:pPr>
      <w:spacing w:after="120"/>
    </w:pPr>
    <w:rPr>
      <w:sz w:val="16"/>
      <w:szCs w:val="16"/>
    </w:rPr>
  </w:style>
  <w:style w:type="paragraph" w:customStyle="1" w:styleId="GLIEDERUNGSPUNKTE">
    <w:name w:val="GLIEDERUNGSPUNKTE"/>
    <w:rsid w:val="00922435"/>
    <w:pPr>
      <w:ind w:left="709" w:hanging="709"/>
      <w:jc w:val="both"/>
    </w:pPr>
    <w:rPr>
      <w:rFonts w:ascii="Times" w:hAnsi="Times"/>
      <w:sz w:val="24"/>
      <w:lang w:val="de-DE" w:eastAsia="de-DE"/>
    </w:rPr>
  </w:style>
  <w:style w:type="character" w:styleId="Emphasis">
    <w:name w:val="Emphasis"/>
    <w:qFormat/>
    <w:rsid w:val="00922435"/>
    <w:rPr>
      <w:i/>
    </w:rPr>
  </w:style>
  <w:style w:type="paragraph" w:styleId="BodyText2">
    <w:name w:val="Body Text 2"/>
    <w:basedOn w:val="Normal"/>
    <w:rsid w:val="00922435"/>
    <w:pPr>
      <w:spacing w:line="480" w:lineRule="auto"/>
      <w:ind w:right="-2"/>
      <w:jc w:val="both"/>
    </w:pPr>
    <w:rPr>
      <w:rFonts w:ascii="Helvetica" w:hAnsi="Helvetica"/>
      <w:sz w:val="24"/>
      <w:lang w:val="en-US"/>
    </w:rPr>
  </w:style>
  <w:style w:type="paragraph" w:customStyle="1" w:styleId="DefinitionList">
    <w:name w:val="Definition List"/>
    <w:basedOn w:val="Normal"/>
    <w:next w:val="Normal"/>
    <w:rsid w:val="00922435"/>
    <w:pPr>
      <w:ind w:left="360"/>
    </w:pPr>
    <w:rPr>
      <w:snapToGrid w:val="0"/>
      <w:sz w:val="24"/>
    </w:rPr>
  </w:style>
  <w:style w:type="character" w:styleId="FollowedHyperlink">
    <w:name w:val="FollowedHyperlink"/>
    <w:rsid w:val="00922435"/>
    <w:rPr>
      <w:color w:val="800080"/>
      <w:u w:val="single"/>
    </w:rPr>
  </w:style>
  <w:style w:type="paragraph" w:customStyle="1" w:styleId="AuthorNames">
    <w:name w:val="Author Names"/>
    <w:basedOn w:val="Normal"/>
    <w:rsid w:val="00922435"/>
    <w:rPr>
      <w:rFonts w:ascii="Arial" w:hAnsi="Arial"/>
      <w:b/>
      <w:sz w:val="18"/>
      <w:lang w:val="en-US"/>
    </w:rPr>
  </w:style>
  <w:style w:type="character" w:customStyle="1" w:styleId="volume">
    <w:name w:val="volume"/>
    <w:basedOn w:val="DefaultParagraphFont"/>
    <w:rsid w:val="00922435"/>
  </w:style>
  <w:style w:type="character" w:customStyle="1" w:styleId="issue">
    <w:name w:val="issue"/>
    <w:basedOn w:val="DefaultParagraphFont"/>
    <w:rsid w:val="00922435"/>
  </w:style>
  <w:style w:type="character" w:customStyle="1" w:styleId="pages">
    <w:name w:val="pages"/>
    <w:basedOn w:val="DefaultParagraphFont"/>
    <w:rsid w:val="00922435"/>
  </w:style>
  <w:style w:type="character" w:customStyle="1" w:styleId="ti2">
    <w:name w:val="ti2"/>
    <w:rsid w:val="00922435"/>
    <w:rPr>
      <w:sz w:val="22"/>
      <w:szCs w:val="22"/>
    </w:rPr>
  </w:style>
  <w:style w:type="character" w:customStyle="1" w:styleId="src1">
    <w:name w:val="src1"/>
    <w:rsid w:val="00E13DE8"/>
    <w:rPr>
      <w:vanish w:val="0"/>
      <w:webHidden w:val="0"/>
      <w:specVanish w:val="0"/>
    </w:rPr>
  </w:style>
  <w:style w:type="paragraph" w:customStyle="1" w:styleId="title1">
    <w:name w:val="title1"/>
    <w:basedOn w:val="Normal"/>
    <w:rsid w:val="003F78CB"/>
    <w:rPr>
      <w:sz w:val="29"/>
      <w:szCs w:val="29"/>
    </w:rPr>
  </w:style>
  <w:style w:type="paragraph" w:customStyle="1" w:styleId="rprtbody1">
    <w:name w:val="rprtbody1"/>
    <w:basedOn w:val="Normal"/>
    <w:rsid w:val="003F78CB"/>
    <w:pPr>
      <w:spacing w:before="34" w:after="34"/>
    </w:pPr>
    <w:rPr>
      <w:sz w:val="28"/>
      <w:szCs w:val="28"/>
    </w:rPr>
  </w:style>
  <w:style w:type="paragraph" w:customStyle="1" w:styleId="aux1">
    <w:name w:val="aux1"/>
    <w:basedOn w:val="Normal"/>
    <w:rsid w:val="003F78CB"/>
    <w:pPr>
      <w:spacing w:line="320" w:lineRule="atLeast"/>
    </w:pPr>
    <w:rPr>
      <w:sz w:val="24"/>
      <w:szCs w:val="24"/>
    </w:rPr>
  </w:style>
  <w:style w:type="character" w:customStyle="1" w:styleId="rprtid1">
    <w:name w:val="rprtid1"/>
    <w:rsid w:val="003F78CB"/>
    <w:rPr>
      <w:vanish w:val="0"/>
      <w:webHidden w:val="0"/>
      <w:color w:val="696969"/>
      <w:specVanish w:val="0"/>
    </w:rPr>
  </w:style>
  <w:style w:type="character" w:customStyle="1" w:styleId="rprtlinks1">
    <w:name w:val="rprtlinks1"/>
    <w:rsid w:val="003F78CB"/>
    <w:rPr>
      <w:vanish w:val="0"/>
      <w:webHidden w:val="0"/>
      <w:specVanish w:val="0"/>
    </w:rPr>
  </w:style>
  <w:style w:type="character" w:customStyle="1" w:styleId="jrnl">
    <w:name w:val="jrnl"/>
    <w:basedOn w:val="DefaultParagraphFont"/>
    <w:rsid w:val="003F78CB"/>
  </w:style>
  <w:style w:type="paragraph" w:customStyle="1" w:styleId="Titel1">
    <w:name w:val="Titel1"/>
    <w:basedOn w:val="Normal"/>
    <w:rsid w:val="008A5B90"/>
    <w:pPr>
      <w:spacing w:before="100" w:beforeAutospacing="1" w:after="100" w:afterAutospacing="1"/>
    </w:pPr>
    <w:rPr>
      <w:sz w:val="24"/>
      <w:szCs w:val="24"/>
    </w:rPr>
  </w:style>
  <w:style w:type="paragraph" w:customStyle="1" w:styleId="desc">
    <w:name w:val="desc"/>
    <w:basedOn w:val="Normal"/>
    <w:rsid w:val="008A5B90"/>
    <w:pPr>
      <w:spacing w:before="100" w:beforeAutospacing="1" w:after="100" w:afterAutospacing="1"/>
    </w:pPr>
    <w:rPr>
      <w:sz w:val="24"/>
      <w:szCs w:val="24"/>
    </w:rPr>
  </w:style>
  <w:style w:type="paragraph" w:customStyle="1" w:styleId="details">
    <w:name w:val="details"/>
    <w:basedOn w:val="Normal"/>
    <w:rsid w:val="008A5B90"/>
    <w:pPr>
      <w:spacing w:before="100" w:beforeAutospacing="1" w:after="100" w:afterAutospacing="1"/>
    </w:pPr>
    <w:rPr>
      <w:sz w:val="24"/>
      <w:szCs w:val="24"/>
    </w:rPr>
  </w:style>
  <w:style w:type="paragraph" w:customStyle="1" w:styleId="linksnohighlight">
    <w:name w:val="links nohighlight"/>
    <w:basedOn w:val="Normal"/>
    <w:rsid w:val="00E15DF3"/>
    <w:pPr>
      <w:spacing w:before="100" w:beforeAutospacing="1" w:after="100" w:afterAutospacing="1"/>
    </w:pPr>
    <w:rPr>
      <w:sz w:val="24"/>
      <w:szCs w:val="24"/>
    </w:rPr>
  </w:style>
  <w:style w:type="paragraph" w:styleId="ListParagraph">
    <w:name w:val="List Paragraph"/>
    <w:basedOn w:val="Normal"/>
    <w:uiPriority w:val="34"/>
    <w:qFormat/>
    <w:rsid w:val="008E3B64"/>
    <w:pPr>
      <w:ind w:left="720"/>
    </w:pPr>
  </w:style>
  <w:style w:type="character" w:customStyle="1" w:styleId="st1">
    <w:name w:val="st1"/>
    <w:rsid w:val="00042B21"/>
  </w:style>
  <w:style w:type="paragraph" w:customStyle="1" w:styleId="Default">
    <w:name w:val="Default"/>
    <w:rsid w:val="00684056"/>
    <w:pPr>
      <w:autoSpaceDE w:val="0"/>
      <w:autoSpaceDN w:val="0"/>
      <w:adjustRightInd w:val="0"/>
    </w:pPr>
    <w:rPr>
      <w:color w:val="000000"/>
      <w:sz w:val="24"/>
      <w:szCs w:val="24"/>
    </w:rPr>
  </w:style>
  <w:style w:type="character" w:customStyle="1" w:styleId="HeaderChar">
    <w:name w:val="Header Char"/>
    <w:link w:val="Header"/>
    <w:uiPriority w:val="99"/>
    <w:rsid w:val="00A83D1E"/>
    <w:rPr>
      <w:lang w:val="de-DE" w:eastAsia="de-DE"/>
    </w:rPr>
  </w:style>
  <w:style w:type="paragraph" w:styleId="NormalWeb">
    <w:name w:val="Normal (Web)"/>
    <w:basedOn w:val="Normal"/>
    <w:uiPriority w:val="99"/>
    <w:unhideWhenUsed/>
    <w:rsid w:val="00833705"/>
    <w:pPr>
      <w:spacing w:before="100" w:beforeAutospacing="1" w:after="100" w:afterAutospacing="1"/>
    </w:pPr>
    <w:rPr>
      <w:rFonts w:eastAsia="Calibri"/>
      <w:sz w:val="24"/>
      <w:szCs w:val="24"/>
      <w:lang w:val="en-US" w:eastAsia="en-US"/>
    </w:rPr>
  </w:style>
  <w:style w:type="character" w:styleId="Strong">
    <w:name w:val="Strong"/>
    <w:uiPriority w:val="22"/>
    <w:qFormat/>
    <w:rsid w:val="00616F9A"/>
    <w:rPr>
      <w:b/>
      <w:bCs/>
    </w:rPr>
  </w:style>
  <w:style w:type="paragraph" w:styleId="Caption">
    <w:name w:val="caption"/>
    <w:basedOn w:val="Normal"/>
    <w:next w:val="Normal"/>
    <w:qFormat/>
    <w:rsid w:val="00362A28"/>
    <w:pPr>
      <w:spacing w:after="240" w:line="360" w:lineRule="auto"/>
    </w:pPr>
    <w:rPr>
      <w:rFonts w:ascii="Arial" w:hAnsi="Arial"/>
      <w:b/>
      <w:bCs/>
    </w:rPr>
  </w:style>
  <w:style w:type="paragraph" w:styleId="Revision">
    <w:name w:val="Revision"/>
    <w:hidden/>
    <w:uiPriority w:val="99"/>
    <w:semiHidden/>
    <w:rsid w:val="00920205"/>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40138">
      <w:bodyDiv w:val="1"/>
      <w:marLeft w:val="0"/>
      <w:marRight w:val="0"/>
      <w:marTop w:val="0"/>
      <w:marBottom w:val="0"/>
      <w:divBdr>
        <w:top w:val="none" w:sz="0" w:space="0" w:color="auto"/>
        <w:left w:val="none" w:sz="0" w:space="0" w:color="auto"/>
        <w:bottom w:val="none" w:sz="0" w:space="0" w:color="auto"/>
        <w:right w:val="none" w:sz="0" w:space="0" w:color="auto"/>
      </w:divBdr>
      <w:divsChild>
        <w:div w:id="1200721">
          <w:marLeft w:val="0"/>
          <w:marRight w:val="0"/>
          <w:marTop w:val="0"/>
          <w:marBottom w:val="0"/>
          <w:divBdr>
            <w:top w:val="none" w:sz="0" w:space="0" w:color="auto"/>
            <w:left w:val="none" w:sz="0" w:space="0" w:color="auto"/>
            <w:bottom w:val="none" w:sz="0" w:space="0" w:color="auto"/>
            <w:right w:val="none" w:sz="0" w:space="0" w:color="auto"/>
          </w:divBdr>
          <w:divsChild>
            <w:div w:id="421490209">
              <w:marLeft w:val="0"/>
              <w:marRight w:val="0"/>
              <w:marTop w:val="0"/>
              <w:marBottom w:val="0"/>
              <w:divBdr>
                <w:top w:val="none" w:sz="0" w:space="0" w:color="auto"/>
                <w:left w:val="none" w:sz="0" w:space="0" w:color="auto"/>
                <w:bottom w:val="none" w:sz="0" w:space="0" w:color="auto"/>
                <w:right w:val="none" w:sz="0" w:space="0" w:color="auto"/>
              </w:divBdr>
              <w:divsChild>
                <w:div w:id="1947156598">
                  <w:marLeft w:val="0"/>
                  <w:marRight w:val="-6084"/>
                  <w:marTop w:val="0"/>
                  <w:marBottom w:val="0"/>
                  <w:divBdr>
                    <w:top w:val="none" w:sz="0" w:space="0" w:color="auto"/>
                    <w:left w:val="none" w:sz="0" w:space="0" w:color="auto"/>
                    <w:bottom w:val="none" w:sz="0" w:space="0" w:color="auto"/>
                    <w:right w:val="none" w:sz="0" w:space="0" w:color="auto"/>
                  </w:divBdr>
                  <w:divsChild>
                    <w:div w:id="668411816">
                      <w:marLeft w:val="0"/>
                      <w:marRight w:val="5604"/>
                      <w:marTop w:val="0"/>
                      <w:marBottom w:val="0"/>
                      <w:divBdr>
                        <w:top w:val="none" w:sz="0" w:space="0" w:color="auto"/>
                        <w:left w:val="none" w:sz="0" w:space="0" w:color="auto"/>
                        <w:bottom w:val="none" w:sz="0" w:space="0" w:color="auto"/>
                        <w:right w:val="none" w:sz="0" w:space="0" w:color="auto"/>
                      </w:divBdr>
                      <w:divsChild>
                        <w:div w:id="670184122">
                          <w:marLeft w:val="0"/>
                          <w:marRight w:val="0"/>
                          <w:marTop w:val="0"/>
                          <w:marBottom w:val="0"/>
                          <w:divBdr>
                            <w:top w:val="none" w:sz="0" w:space="0" w:color="auto"/>
                            <w:left w:val="none" w:sz="0" w:space="0" w:color="auto"/>
                            <w:bottom w:val="none" w:sz="0" w:space="0" w:color="auto"/>
                            <w:right w:val="none" w:sz="0" w:space="0" w:color="auto"/>
                          </w:divBdr>
                          <w:divsChild>
                            <w:div w:id="1302615397">
                              <w:marLeft w:val="0"/>
                              <w:marRight w:val="0"/>
                              <w:marTop w:val="120"/>
                              <w:marBottom w:val="360"/>
                              <w:divBdr>
                                <w:top w:val="none" w:sz="0" w:space="0" w:color="auto"/>
                                <w:left w:val="none" w:sz="0" w:space="0" w:color="auto"/>
                                <w:bottom w:val="none" w:sz="0" w:space="0" w:color="auto"/>
                                <w:right w:val="none" w:sz="0" w:space="0" w:color="auto"/>
                              </w:divBdr>
                              <w:divsChild>
                                <w:div w:id="1901356158">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18351">
      <w:bodyDiv w:val="1"/>
      <w:marLeft w:val="0"/>
      <w:marRight w:val="0"/>
      <w:marTop w:val="0"/>
      <w:marBottom w:val="0"/>
      <w:divBdr>
        <w:top w:val="none" w:sz="0" w:space="0" w:color="auto"/>
        <w:left w:val="none" w:sz="0" w:space="0" w:color="auto"/>
        <w:bottom w:val="none" w:sz="0" w:space="0" w:color="auto"/>
        <w:right w:val="none" w:sz="0" w:space="0" w:color="auto"/>
      </w:divBdr>
      <w:divsChild>
        <w:div w:id="1797605948">
          <w:marLeft w:val="0"/>
          <w:marRight w:val="0"/>
          <w:marTop w:val="0"/>
          <w:marBottom w:val="0"/>
          <w:divBdr>
            <w:top w:val="none" w:sz="0" w:space="0" w:color="auto"/>
            <w:left w:val="none" w:sz="0" w:space="0" w:color="auto"/>
            <w:bottom w:val="none" w:sz="0" w:space="0" w:color="auto"/>
            <w:right w:val="none" w:sz="0" w:space="0" w:color="auto"/>
          </w:divBdr>
          <w:divsChild>
            <w:div w:id="526911708">
              <w:marLeft w:val="0"/>
              <w:marRight w:val="0"/>
              <w:marTop w:val="0"/>
              <w:marBottom w:val="0"/>
              <w:divBdr>
                <w:top w:val="none" w:sz="0" w:space="0" w:color="auto"/>
                <w:left w:val="none" w:sz="0" w:space="0" w:color="auto"/>
                <w:bottom w:val="none" w:sz="0" w:space="0" w:color="auto"/>
                <w:right w:val="none" w:sz="0" w:space="0" w:color="auto"/>
              </w:divBdr>
              <w:divsChild>
                <w:div w:id="394816627">
                  <w:marLeft w:val="0"/>
                  <w:marRight w:val="0"/>
                  <w:marTop w:val="0"/>
                  <w:marBottom w:val="0"/>
                  <w:divBdr>
                    <w:top w:val="none" w:sz="0" w:space="0" w:color="auto"/>
                    <w:left w:val="none" w:sz="0" w:space="0" w:color="auto"/>
                    <w:bottom w:val="none" w:sz="0" w:space="0" w:color="auto"/>
                    <w:right w:val="none" w:sz="0" w:space="0" w:color="auto"/>
                  </w:divBdr>
                  <w:divsChild>
                    <w:div w:id="290522637">
                      <w:marLeft w:val="0"/>
                      <w:marRight w:val="0"/>
                      <w:marTop w:val="0"/>
                      <w:marBottom w:val="0"/>
                      <w:divBdr>
                        <w:top w:val="none" w:sz="0" w:space="0" w:color="auto"/>
                        <w:left w:val="none" w:sz="0" w:space="0" w:color="auto"/>
                        <w:bottom w:val="none" w:sz="0" w:space="0" w:color="auto"/>
                        <w:right w:val="none" w:sz="0" w:space="0" w:color="auto"/>
                      </w:divBdr>
                      <w:divsChild>
                        <w:div w:id="1654480279">
                          <w:marLeft w:val="0"/>
                          <w:marRight w:val="0"/>
                          <w:marTop w:val="0"/>
                          <w:marBottom w:val="0"/>
                          <w:divBdr>
                            <w:top w:val="none" w:sz="0" w:space="0" w:color="auto"/>
                            <w:left w:val="none" w:sz="0" w:space="0" w:color="auto"/>
                            <w:bottom w:val="none" w:sz="0" w:space="0" w:color="auto"/>
                            <w:right w:val="none" w:sz="0" w:space="0" w:color="auto"/>
                          </w:divBdr>
                          <w:divsChild>
                            <w:div w:id="282420390">
                              <w:marLeft w:val="0"/>
                              <w:marRight w:val="0"/>
                              <w:marTop w:val="0"/>
                              <w:marBottom w:val="0"/>
                              <w:divBdr>
                                <w:top w:val="none" w:sz="0" w:space="0" w:color="auto"/>
                                <w:left w:val="none" w:sz="0" w:space="0" w:color="auto"/>
                                <w:bottom w:val="none" w:sz="0" w:space="0" w:color="auto"/>
                                <w:right w:val="none" w:sz="0" w:space="0" w:color="auto"/>
                              </w:divBdr>
                              <w:divsChild>
                                <w:div w:id="122969548">
                                  <w:marLeft w:val="0"/>
                                  <w:marRight w:val="0"/>
                                  <w:marTop w:val="0"/>
                                  <w:marBottom w:val="0"/>
                                  <w:divBdr>
                                    <w:top w:val="none" w:sz="0" w:space="0" w:color="auto"/>
                                    <w:left w:val="none" w:sz="0" w:space="0" w:color="auto"/>
                                    <w:bottom w:val="none" w:sz="0" w:space="0" w:color="auto"/>
                                    <w:right w:val="none" w:sz="0" w:space="0" w:color="auto"/>
                                  </w:divBdr>
                                  <w:divsChild>
                                    <w:div w:id="1010525974">
                                      <w:marLeft w:val="0"/>
                                      <w:marRight w:val="0"/>
                                      <w:marTop w:val="0"/>
                                      <w:marBottom w:val="0"/>
                                      <w:divBdr>
                                        <w:top w:val="none" w:sz="0" w:space="0" w:color="auto"/>
                                        <w:left w:val="none" w:sz="0" w:space="0" w:color="auto"/>
                                        <w:bottom w:val="none" w:sz="0" w:space="0" w:color="auto"/>
                                        <w:right w:val="none" w:sz="0" w:space="0" w:color="auto"/>
                                      </w:divBdr>
                                    </w:div>
                                    <w:div w:id="1619490898">
                                      <w:marLeft w:val="0"/>
                                      <w:marRight w:val="0"/>
                                      <w:marTop w:val="0"/>
                                      <w:marBottom w:val="0"/>
                                      <w:divBdr>
                                        <w:top w:val="none" w:sz="0" w:space="0" w:color="auto"/>
                                        <w:left w:val="none" w:sz="0" w:space="0" w:color="auto"/>
                                        <w:bottom w:val="none" w:sz="0" w:space="0" w:color="auto"/>
                                        <w:right w:val="none" w:sz="0" w:space="0" w:color="auto"/>
                                      </w:divBdr>
                                      <w:divsChild>
                                        <w:div w:id="12868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6344">
                                  <w:marLeft w:val="0"/>
                                  <w:marRight w:val="0"/>
                                  <w:marTop w:val="0"/>
                                  <w:marBottom w:val="0"/>
                                  <w:divBdr>
                                    <w:top w:val="none" w:sz="0" w:space="0" w:color="auto"/>
                                    <w:left w:val="none" w:sz="0" w:space="0" w:color="auto"/>
                                    <w:bottom w:val="none" w:sz="0" w:space="0" w:color="auto"/>
                                    <w:right w:val="none" w:sz="0" w:space="0" w:color="auto"/>
                                  </w:divBdr>
                                  <w:divsChild>
                                    <w:div w:id="73628639">
                                      <w:marLeft w:val="0"/>
                                      <w:marRight w:val="0"/>
                                      <w:marTop w:val="0"/>
                                      <w:marBottom w:val="0"/>
                                      <w:divBdr>
                                        <w:top w:val="none" w:sz="0" w:space="0" w:color="auto"/>
                                        <w:left w:val="none" w:sz="0" w:space="0" w:color="auto"/>
                                        <w:bottom w:val="none" w:sz="0" w:space="0" w:color="auto"/>
                                        <w:right w:val="none" w:sz="0" w:space="0" w:color="auto"/>
                                      </w:divBdr>
                                    </w:div>
                                    <w:div w:id="1406950651">
                                      <w:marLeft w:val="0"/>
                                      <w:marRight w:val="0"/>
                                      <w:marTop w:val="0"/>
                                      <w:marBottom w:val="0"/>
                                      <w:divBdr>
                                        <w:top w:val="none" w:sz="0" w:space="0" w:color="auto"/>
                                        <w:left w:val="none" w:sz="0" w:space="0" w:color="auto"/>
                                        <w:bottom w:val="none" w:sz="0" w:space="0" w:color="auto"/>
                                        <w:right w:val="none" w:sz="0" w:space="0" w:color="auto"/>
                                      </w:divBdr>
                                      <w:divsChild>
                                        <w:div w:id="108740728">
                                          <w:marLeft w:val="0"/>
                                          <w:marRight w:val="0"/>
                                          <w:marTop w:val="0"/>
                                          <w:marBottom w:val="0"/>
                                          <w:divBdr>
                                            <w:top w:val="none" w:sz="0" w:space="0" w:color="auto"/>
                                            <w:left w:val="none" w:sz="0" w:space="0" w:color="auto"/>
                                            <w:bottom w:val="none" w:sz="0" w:space="0" w:color="auto"/>
                                            <w:right w:val="none" w:sz="0" w:space="0" w:color="auto"/>
                                          </w:divBdr>
                                          <w:divsChild>
                                            <w:div w:id="1597906509">
                                              <w:marLeft w:val="0"/>
                                              <w:marRight w:val="0"/>
                                              <w:marTop w:val="0"/>
                                              <w:marBottom w:val="0"/>
                                              <w:divBdr>
                                                <w:top w:val="none" w:sz="0" w:space="0" w:color="auto"/>
                                                <w:left w:val="none" w:sz="0" w:space="0" w:color="auto"/>
                                                <w:bottom w:val="none" w:sz="0" w:space="0" w:color="auto"/>
                                                <w:right w:val="none" w:sz="0" w:space="0" w:color="auto"/>
                                              </w:divBdr>
                                            </w:div>
                                          </w:divsChild>
                                        </w:div>
                                        <w:div w:id="11083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7589">
                                  <w:marLeft w:val="0"/>
                                  <w:marRight w:val="0"/>
                                  <w:marTop w:val="0"/>
                                  <w:marBottom w:val="0"/>
                                  <w:divBdr>
                                    <w:top w:val="none" w:sz="0" w:space="0" w:color="auto"/>
                                    <w:left w:val="none" w:sz="0" w:space="0" w:color="auto"/>
                                    <w:bottom w:val="none" w:sz="0" w:space="0" w:color="auto"/>
                                    <w:right w:val="none" w:sz="0" w:space="0" w:color="auto"/>
                                  </w:divBdr>
                                  <w:divsChild>
                                    <w:div w:id="1652245837">
                                      <w:marLeft w:val="0"/>
                                      <w:marRight w:val="0"/>
                                      <w:marTop w:val="0"/>
                                      <w:marBottom w:val="0"/>
                                      <w:divBdr>
                                        <w:top w:val="none" w:sz="0" w:space="0" w:color="auto"/>
                                        <w:left w:val="none" w:sz="0" w:space="0" w:color="auto"/>
                                        <w:bottom w:val="none" w:sz="0" w:space="0" w:color="auto"/>
                                        <w:right w:val="none" w:sz="0" w:space="0" w:color="auto"/>
                                      </w:divBdr>
                                      <w:divsChild>
                                        <w:div w:id="654187521">
                                          <w:marLeft w:val="0"/>
                                          <w:marRight w:val="0"/>
                                          <w:marTop w:val="0"/>
                                          <w:marBottom w:val="0"/>
                                          <w:divBdr>
                                            <w:top w:val="none" w:sz="0" w:space="0" w:color="auto"/>
                                            <w:left w:val="none" w:sz="0" w:space="0" w:color="auto"/>
                                            <w:bottom w:val="none" w:sz="0" w:space="0" w:color="auto"/>
                                            <w:right w:val="none" w:sz="0" w:space="0" w:color="auto"/>
                                          </w:divBdr>
                                        </w:div>
                                        <w:div w:id="1663240051">
                                          <w:marLeft w:val="0"/>
                                          <w:marRight w:val="0"/>
                                          <w:marTop w:val="0"/>
                                          <w:marBottom w:val="0"/>
                                          <w:divBdr>
                                            <w:top w:val="none" w:sz="0" w:space="0" w:color="auto"/>
                                            <w:left w:val="none" w:sz="0" w:space="0" w:color="auto"/>
                                            <w:bottom w:val="none" w:sz="0" w:space="0" w:color="auto"/>
                                            <w:right w:val="none" w:sz="0" w:space="0" w:color="auto"/>
                                          </w:divBdr>
                                          <w:divsChild>
                                            <w:div w:id="17061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8881">
                                      <w:marLeft w:val="0"/>
                                      <w:marRight w:val="0"/>
                                      <w:marTop w:val="0"/>
                                      <w:marBottom w:val="0"/>
                                      <w:divBdr>
                                        <w:top w:val="none" w:sz="0" w:space="0" w:color="auto"/>
                                        <w:left w:val="none" w:sz="0" w:space="0" w:color="auto"/>
                                        <w:bottom w:val="none" w:sz="0" w:space="0" w:color="auto"/>
                                        <w:right w:val="none" w:sz="0" w:space="0" w:color="auto"/>
                                      </w:divBdr>
                                    </w:div>
                                  </w:divsChild>
                                </w:div>
                                <w:div w:id="916983591">
                                  <w:marLeft w:val="0"/>
                                  <w:marRight w:val="0"/>
                                  <w:marTop w:val="0"/>
                                  <w:marBottom w:val="0"/>
                                  <w:divBdr>
                                    <w:top w:val="none" w:sz="0" w:space="0" w:color="auto"/>
                                    <w:left w:val="none" w:sz="0" w:space="0" w:color="auto"/>
                                    <w:bottom w:val="none" w:sz="0" w:space="0" w:color="auto"/>
                                    <w:right w:val="none" w:sz="0" w:space="0" w:color="auto"/>
                                  </w:divBdr>
                                  <w:divsChild>
                                    <w:div w:id="474220472">
                                      <w:marLeft w:val="0"/>
                                      <w:marRight w:val="0"/>
                                      <w:marTop w:val="0"/>
                                      <w:marBottom w:val="0"/>
                                      <w:divBdr>
                                        <w:top w:val="none" w:sz="0" w:space="0" w:color="auto"/>
                                        <w:left w:val="none" w:sz="0" w:space="0" w:color="auto"/>
                                        <w:bottom w:val="none" w:sz="0" w:space="0" w:color="auto"/>
                                        <w:right w:val="none" w:sz="0" w:space="0" w:color="auto"/>
                                      </w:divBdr>
                                      <w:divsChild>
                                        <w:div w:id="13046101">
                                          <w:marLeft w:val="0"/>
                                          <w:marRight w:val="0"/>
                                          <w:marTop w:val="0"/>
                                          <w:marBottom w:val="0"/>
                                          <w:divBdr>
                                            <w:top w:val="none" w:sz="0" w:space="0" w:color="auto"/>
                                            <w:left w:val="none" w:sz="0" w:space="0" w:color="auto"/>
                                            <w:bottom w:val="none" w:sz="0" w:space="0" w:color="auto"/>
                                            <w:right w:val="none" w:sz="0" w:space="0" w:color="auto"/>
                                          </w:divBdr>
                                        </w:div>
                                        <w:div w:id="933705442">
                                          <w:marLeft w:val="0"/>
                                          <w:marRight w:val="0"/>
                                          <w:marTop w:val="0"/>
                                          <w:marBottom w:val="0"/>
                                          <w:divBdr>
                                            <w:top w:val="none" w:sz="0" w:space="0" w:color="auto"/>
                                            <w:left w:val="none" w:sz="0" w:space="0" w:color="auto"/>
                                            <w:bottom w:val="none" w:sz="0" w:space="0" w:color="auto"/>
                                            <w:right w:val="none" w:sz="0" w:space="0" w:color="auto"/>
                                          </w:divBdr>
                                          <w:divsChild>
                                            <w:div w:id="489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336">
                                      <w:marLeft w:val="0"/>
                                      <w:marRight w:val="0"/>
                                      <w:marTop w:val="0"/>
                                      <w:marBottom w:val="0"/>
                                      <w:divBdr>
                                        <w:top w:val="none" w:sz="0" w:space="0" w:color="auto"/>
                                        <w:left w:val="none" w:sz="0" w:space="0" w:color="auto"/>
                                        <w:bottom w:val="none" w:sz="0" w:space="0" w:color="auto"/>
                                        <w:right w:val="none" w:sz="0" w:space="0" w:color="auto"/>
                                      </w:divBdr>
                                    </w:div>
                                  </w:divsChild>
                                </w:div>
                                <w:div w:id="938177998">
                                  <w:marLeft w:val="0"/>
                                  <w:marRight w:val="0"/>
                                  <w:marTop w:val="0"/>
                                  <w:marBottom w:val="0"/>
                                  <w:divBdr>
                                    <w:top w:val="none" w:sz="0" w:space="0" w:color="auto"/>
                                    <w:left w:val="none" w:sz="0" w:space="0" w:color="auto"/>
                                    <w:bottom w:val="none" w:sz="0" w:space="0" w:color="auto"/>
                                    <w:right w:val="none" w:sz="0" w:space="0" w:color="auto"/>
                                  </w:divBdr>
                                  <w:divsChild>
                                    <w:div w:id="166022788">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1194153593">
                                              <w:marLeft w:val="0"/>
                                              <w:marRight w:val="0"/>
                                              <w:marTop w:val="0"/>
                                              <w:marBottom w:val="0"/>
                                              <w:divBdr>
                                                <w:top w:val="none" w:sz="0" w:space="0" w:color="auto"/>
                                                <w:left w:val="none" w:sz="0" w:space="0" w:color="auto"/>
                                                <w:bottom w:val="none" w:sz="0" w:space="0" w:color="auto"/>
                                                <w:right w:val="none" w:sz="0" w:space="0" w:color="auto"/>
                                              </w:divBdr>
                                            </w:div>
                                          </w:divsChild>
                                        </w:div>
                                        <w:div w:id="2882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78392">
                                  <w:marLeft w:val="0"/>
                                  <w:marRight w:val="0"/>
                                  <w:marTop w:val="0"/>
                                  <w:marBottom w:val="0"/>
                                  <w:divBdr>
                                    <w:top w:val="none" w:sz="0" w:space="0" w:color="auto"/>
                                    <w:left w:val="none" w:sz="0" w:space="0" w:color="auto"/>
                                    <w:bottom w:val="none" w:sz="0" w:space="0" w:color="auto"/>
                                    <w:right w:val="none" w:sz="0" w:space="0" w:color="auto"/>
                                  </w:divBdr>
                                  <w:divsChild>
                                    <w:div w:id="801195225">
                                      <w:marLeft w:val="0"/>
                                      <w:marRight w:val="0"/>
                                      <w:marTop w:val="0"/>
                                      <w:marBottom w:val="0"/>
                                      <w:divBdr>
                                        <w:top w:val="none" w:sz="0" w:space="0" w:color="auto"/>
                                        <w:left w:val="none" w:sz="0" w:space="0" w:color="auto"/>
                                        <w:bottom w:val="none" w:sz="0" w:space="0" w:color="auto"/>
                                        <w:right w:val="none" w:sz="0" w:space="0" w:color="auto"/>
                                      </w:divBdr>
                                    </w:div>
                                    <w:div w:id="1382680051">
                                      <w:marLeft w:val="0"/>
                                      <w:marRight w:val="0"/>
                                      <w:marTop w:val="0"/>
                                      <w:marBottom w:val="0"/>
                                      <w:divBdr>
                                        <w:top w:val="none" w:sz="0" w:space="0" w:color="auto"/>
                                        <w:left w:val="none" w:sz="0" w:space="0" w:color="auto"/>
                                        <w:bottom w:val="none" w:sz="0" w:space="0" w:color="auto"/>
                                        <w:right w:val="none" w:sz="0" w:space="0" w:color="auto"/>
                                      </w:divBdr>
                                      <w:divsChild>
                                        <w:div w:id="1303345853">
                                          <w:marLeft w:val="0"/>
                                          <w:marRight w:val="0"/>
                                          <w:marTop w:val="0"/>
                                          <w:marBottom w:val="0"/>
                                          <w:divBdr>
                                            <w:top w:val="none" w:sz="0" w:space="0" w:color="auto"/>
                                            <w:left w:val="none" w:sz="0" w:space="0" w:color="auto"/>
                                            <w:bottom w:val="none" w:sz="0" w:space="0" w:color="auto"/>
                                            <w:right w:val="none" w:sz="0" w:space="0" w:color="auto"/>
                                          </w:divBdr>
                                          <w:divsChild>
                                            <w:div w:id="2083526740">
                                              <w:marLeft w:val="0"/>
                                              <w:marRight w:val="0"/>
                                              <w:marTop w:val="0"/>
                                              <w:marBottom w:val="0"/>
                                              <w:divBdr>
                                                <w:top w:val="none" w:sz="0" w:space="0" w:color="auto"/>
                                                <w:left w:val="none" w:sz="0" w:space="0" w:color="auto"/>
                                                <w:bottom w:val="none" w:sz="0" w:space="0" w:color="auto"/>
                                                <w:right w:val="none" w:sz="0" w:space="0" w:color="auto"/>
                                              </w:divBdr>
                                            </w:div>
                                          </w:divsChild>
                                        </w:div>
                                        <w:div w:id="16899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9414">
                                  <w:marLeft w:val="0"/>
                                  <w:marRight w:val="0"/>
                                  <w:marTop w:val="0"/>
                                  <w:marBottom w:val="0"/>
                                  <w:divBdr>
                                    <w:top w:val="none" w:sz="0" w:space="0" w:color="auto"/>
                                    <w:left w:val="none" w:sz="0" w:space="0" w:color="auto"/>
                                    <w:bottom w:val="none" w:sz="0" w:space="0" w:color="auto"/>
                                    <w:right w:val="none" w:sz="0" w:space="0" w:color="auto"/>
                                  </w:divBdr>
                                  <w:divsChild>
                                    <w:div w:id="308676116">
                                      <w:marLeft w:val="0"/>
                                      <w:marRight w:val="0"/>
                                      <w:marTop w:val="0"/>
                                      <w:marBottom w:val="0"/>
                                      <w:divBdr>
                                        <w:top w:val="none" w:sz="0" w:space="0" w:color="auto"/>
                                        <w:left w:val="none" w:sz="0" w:space="0" w:color="auto"/>
                                        <w:bottom w:val="none" w:sz="0" w:space="0" w:color="auto"/>
                                        <w:right w:val="none" w:sz="0" w:space="0" w:color="auto"/>
                                      </w:divBdr>
                                      <w:divsChild>
                                        <w:div w:id="401290918">
                                          <w:marLeft w:val="0"/>
                                          <w:marRight w:val="0"/>
                                          <w:marTop w:val="0"/>
                                          <w:marBottom w:val="0"/>
                                          <w:divBdr>
                                            <w:top w:val="none" w:sz="0" w:space="0" w:color="auto"/>
                                            <w:left w:val="none" w:sz="0" w:space="0" w:color="auto"/>
                                            <w:bottom w:val="none" w:sz="0" w:space="0" w:color="auto"/>
                                            <w:right w:val="none" w:sz="0" w:space="0" w:color="auto"/>
                                          </w:divBdr>
                                          <w:divsChild>
                                            <w:div w:id="1280144343">
                                              <w:marLeft w:val="0"/>
                                              <w:marRight w:val="0"/>
                                              <w:marTop w:val="0"/>
                                              <w:marBottom w:val="0"/>
                                              <w:divBdr>
                                                <w:top w:val="none" w:sz="0" w:space="0" w:color="auto"/>
                                                <w:left w:val="none" w:sz="0" w:space="0" w:color="auto"/>
                                                <w:bottom w:val="none" w:sz="0" w:space="0" w:color="auto"/>
                                                <w:right w:val="none" w:sz="0" w:space="0" w:color="auto"/>
                                              </w:divBdr>
                                            </w:div>
                                          </w:divsChild>
                                        </w:div>
                                        <w:div w:id="1169059930">
                                          <w:marLeft w:val="0"/>
                                          <w:marRight w:val="0"/>
                                          <w:marTop w:val="0"/>
                                          <w:marBottom w:val="0"/>
                                          <w:divBdr>
                                            <w:top w:val="none" w:sz="0" w:space="0" w:color="auto"/>
                                            <w:left w:val="none" w:sz="0" w:space="0" w:color="auto"/>
                                            <w:bottom w:val="none" w:sz="0" w:space="0" w:color="auto"/>
                                            <w:right w:val="none" w:sz="0" w:space="0" w:color="auto"/>
                                          </w:divBdr>
                                        </w:div>
                                      </w:divsChild>
                                    </w:div>
                                    <w:div w:id="1641182368">
                                      <w:marLeft w:val="0"/>
                                      <w:marRight w:val="0"/>
                                      <w:marTop w:val="0"/>
                                      <w:marBottom w:val="0"/>
                                      <w:divBdr>
                                        <w:top w:val="none" w:sz="0" w:space="0" w:color="auto"/>
                                        <w:left w:val="none" w:sz="0" w:space="0" w:color="auto"/>
                                        <w:bottom w:val="none" w:sz="0" w:space="0" w:color="auto"/>
                                        <w:right w:val="none" w:sz="0" w:space="0" w:color="auto"/>
                                      </w:divBdr>
                                    </w:div>
                                  </w:divsChild>
                                </w:div>
                                <w:div w:id="1267889239">
                                  <w:marLeft w:val="0"/>
                                  <w:marRight w:val="0"/>
                                  <w:marTop w:val="0"/>
                                  <w:marBottom w:val="0"/>
                                  <w:divBdr>
                                    <w:top w:val="none" w:sz="0" w:space="0" w:color="auto"/>
                                    <w:left w:val="none" w:sz="0" w:space="0" w:color="auto"/>
                                    <w:bottom w:val="none" w:sz="0" w:space="0" w:color="auto"/>
                                    <w:right w:val="none" w:sz="0" w:space="0" w:color="auto"/>
                                  </w:divBdr>
                                  <w:divsChild>
                                    <w:div w:id="410853170">
                                      <w:marLeft w:val="0"/>
                                      <w:marRight w:val="0"/>
                                      <w:marTop w:val="0"/>
                                      <w:marBottom w:val="0"/>
                                      <w:divBdr>
                                        <w:top w:val="none" w:sz="0" w:space="0" w:color="auto"/>
                                        <w:left w:val="none" w:sz="0" w:space="0" w:color="auto"/>
                                        <w:bottom w:val="none" w:sz="0" w:space="0" w:color="auto"/>
                                        <w:right w:val="none" w:sz="0" w:space="0" w:color="auto"/>
                                      </w:divBdr>
                                    </w:div>
                                    <w:div w:id="658578089">
                                      <w:marLeft w:val="0"/>
                                      <w:marRight w:val="0"/>
                                      <w:marTop w:val="0"/>
                                      <w:marBottom w:val="0"/>
                                      <w:divBdr>
                                        <w:top w:val="none" w:sz="0" w:space="0" w:color="auto"/>
                                        <w:left w:val="none" w:sz="0" w:space="0" w:color="auto"/>
                                        <w:bottom w:val="none" w:sz="0" w:space="0" w:color="auto"/>
                                        <w:right w:val="none" w:sz="0" w:space="0" w:color="auto"/>
                                      </w:divBdr>
                                      <w:divsChild>
                                        <w:div w:id="1421634065">
                                          <w:marLeft w:val="0"/>
                                          <w:marRight w:val="0"/>
                                          <w:marTop w:val="0"/>
                                          <w:marBottom w:val="0"/>
                                          <w:divBdr>
                                            <w:top w:val="none" w:sz="0" w:space="0" w:color="auto"/>
                                            <w:left w:val="none" w:sz="0" w:space="0" w:color="auto"/>
                                            <w:bottom w:val="none" w:sz="0" w:space="0" w:color="auto"/>
                                            <w:right w:val="none" w:sz="0" w:space="0" w:color="auto"/>
                                          </w:divBdr>
                                          <w:divsChild>
                                            <w:div w:id="876814420">
                                              <w:marLeft w:val="0"/>
                                              <w:marRight w:val="0"/>
                                              <w:marTop w:val="0"/>
                                              <w:marBottom w:val="0"/>
                                              <w:divBdr>
                                                <w:top w:val="none" w:sz="0" w:space="0" w:color="auto"/>
                                                <w:left w:val="none" w:sz="0" w:space="0" w:color="auto"/>
                                                <w:bottom w:val="none" w:sz="0" w:space="0" w:color="auto"/>
                                                <w:right w:val="none" w:sz="0" w:space="0" w:color="auto"/>
                                              </w:divBdr>
                                            </w:div>
                                          </w:divsChild>
                                        </w:div>
                                        <w:div w:id="15047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1382">
                                  <w:marLeft w:val="0"/>
                                  <w:marRight w:val="0"/>
                                  <w:marTop w:val="0"/>
                                  <w:marBottom w:val="0"/>
                                  <w:divBdr>
                                    <w:top w:val="none" w:sz="0" w:space="0" w:color="auto"/>
                                    <w:left w:val="none" w:sz="0" w:space="0" w:color="auto"/>
                                    <w:bottom w:val="none" w:sz="0" w:space="0" w:color="auto"/>
                                    <w:right w:val="none" w:sz="0" w:space="0" w:color="auto"/>
                                  </w:divBdr>
                                  <w:divsChild>
                                    <w:div w:id="1779593146">
                                      <w:marLeft w:val="0"/>
                                      <w:marRight w:val="0"/>
                                      <w:marTop w:val="0"/>
                                      <w:marBottom w:val="0"/>
                                      <w:divBdr>
                                        <w:top w:val="none" w:sz="0" w:space="0" w:color="auto"/>
                                        <w:left w:val="none" w:sz="0" w:space="0" w:color="auto"/>
                                        <w:bottom w:val="none" w:sz="0" w:space="0" w:color="auto"/>
                                        <w:right w:val="none" w:sz="0" w:space="0" w:color="auto"/>
                                      </w:divBdr>
                                    </w:div>
                                    <w:div w:id="2021203809">
                                      <w:marLeft w:val="0"/>
                                      <w:marRight w:val="0"/>
                                      <w:marTop w:val="0"/>
                                      <w:marBottom w:val="0"/>
                                      <w:divBdr>
                                        <w:top w:val="none" w:sz="0" w:space="0" w:color="auto"/>
                                        <w:left w:val="none" w:sz="0" w:space="0" w:color="auto"/>
                                        <w:bottom w:val="none" w:sz="0" w:space="0" w:color="auto"/>
                                        <w:right w:val="none" w:sz="0" w:space="0" w:color="auto"/>
                                      </w:divBdr>
                                      <w:divsChild>
                                        <w:div w:id="1761565833">
                                          <w:marLeft w:val="0"/>
                                          <w:marRight w:val="0"/>
                                          <w:marTop w:val="0"/>
                                          <w:marBottom w:val="0"/>
                                          <w:divBdr>
                                            <w:top w:val="none" w:sz="0" w:space="0" w:color="auto"/>
                                            <w:left w:val="none" w:sz="0" w:space="0" w:color="auto"/>
                                            <w:bottom w:val="none" w:sz="0" w:space="0" w:color="auto"/>
                                            <w:right w:val="none" w:sz="0" w:space="0" w:color="auto"/>
                                          </w:divBdr>
                                        </w:div>
                                        <w:div w:id="1832792911">
                                          <w:marLeft w:val="0"/>
                                          <w:marRight w:val="0"/>
                                          <w:marTop w:val="0"/>
                                          <w:marBottom w:val="0"/>
                                          <w:divBdr>
                                            <w:top w:val="none" w:sz="0" w:space="0" w:color="auto"/>
                                            <w:left w:val="none" w:sz="0" w:space="0" w:color="auto"/>
                                            <w:bottom w:val="none" w:sz="0" w:space="0" w:color="auto"/>
                                            <w:right w:val="none" w:sz="0" w:space="0" w:color="auto"/>
                                          </w:divBdr>
                                          <w:divsChild>
                                            <w:div w:id="3004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8809">
                                  <w:marLeft w:val="0"/>
                                  <w:marRight w:val="0"/>
                                  <w:marTop w:val="0"/>
                                  <w:marBottom w:val="0"/>
                                  <w:divBdr>
                                    <w:top w:val="none" w:sz="0" w:space="0" w:color="auto"/>
                                    <w:left w:val="none" w:sz="0" w:space="0" w:color="auto"/>
                                    <w:bottom w:val="none" w:sz="0" w:space="0" w:color="auto"/>
                                    <w:right w:val="none" w:sz="0" w:space="0" w:color="auto"/>
                                  </w:divBdr>
                                  <w:divsChild>
                                    <w:div w:id="1253976907">
                                      <w:marLeft w:val="0"/>
                                      <w:marRight w:val="0"/>
                                      <w:marTop w:val="0"/>
                                      <w:marBottom w:val="0"/>
                                      <w:divBdr>
                                        <w:top w:val="none" w:sz="0" w:space="0" w:color="auto"/>
                                        <w:left w:val="none" w:sz="0" w:space="0" w:color="auto"/>
                                        <w:bottom w:val="none" w:sz="0" w:space="0" w:color="auto"/>
                                        <w:right w:val="none" w:sz="0" w:space="0" w:color="auto"/>
                                      </w:divBdr>
                                    </w:div>
                                    <w:div w:id="1345015556">
                                      <w:marLeft w:val="0"/>
                                      <w:marRight w:val="0"/>
                                      <w:marTop w:val="0"/>
                                      <w:marBottom w:val="0"/>
                                      <w:divBdr>
                                        <w:top w:val="none" w:sz="0" w:space="0" w:color="auto"/>
                                        <w:left w:val="none" w:sz="0" w:space="0" w:color="auto"/>
                                        <w:bottom w:val="none" w:sz="0" w:space="0" w:color="auto"/>
                                        <w:right w:val="none" w:sz="0" w:space="0" w:color="auto"/>
                                      </w:divBdr>
                                      <w:divsChild>
                                        <w:div w:id="1521046162">
                                          <w:marLeft w:val="0"/>
                                          <w:marRight w:val="0"/>
                                          <w:marTop w:val="0"/>
                                          <w:marBottom w:val="0"/>
                                          <w:divBdr>
                                            <w:top w:val="none" w:sz="0" w:space="0" w:color="auto"/>
                                            <w:left w:val="none" w:sz="0" w:space="0" w:color="auto"/>
                                            <w:bottom w:val="none" w:sz="0" w:space="0" w:color="auto"/>
                                            <w:right w:val="none" w:sz="0" w:space="0" w:color="auto"/>
                                          </w:divBdr>
                                          <w:divsChild>
                                            <w:div w:id="2069300647">
                                              <w:marLeft w:val="0"/>
                                              <w:marRight w:val="0"/>
                                              <w:marTop w:val="0"/>
                                              <w:marBottom w:val="0"/>
                                              <w:divBdr>
                                                <w:top w:val="none" w:sz="0" w:space="0" w:color="auto"/>
                                                <w:left w:val="none" w:sz="0" w:space="0" w:color="auto"/>
                                                <w:bottom w:val="none" w:sz="0" w:space="0" w:color="auto"/>
                                                <w:right w:val="none" w:sz="0" w:space="0" w:color="auto"/>
                                              </w:divBdr>
                                            </w:div>
                                          </w:divsChild>
                                        </w:div>
                                        <w:div w:id="19700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926528">
      <w:bodyDiv w:val="1"/>
      <w:marLeft w:val="0"/>
      <w:marRight w:val="0"/>
      <w:marTop w:val="0"/>
      <w:marBottom w:val="0"/>
      <w:divBdr>
        <w:top w:val="none" w:sz="0" w:space="0" w:color="auto"/>
        <w:left w:val="none" w:sz="0" w:space="0" w:color="auto"/>
        <w:bottom w:val="none" w:sz="0" w:space="0" w:color="auto"/>
        <w:right w:val="none" w:sz="0" w:space="0" w:color="auto"/>
      </w:divBdr>
    </w:div>
    <w:div w:id="596134363">
      <w:bodyDiv w:val="1"/>
      <w:marLeft w:val="0"/>
      <w:marRight w:val="0"/>
      <w:marTop w:val="0"/>
      <w:marBottom w:val="0"/>
      <w:divBdr>
        <w:top w:val="none" w:sz="0" w:space="0" w:color="auto"/>
        <w:left w:val="none" w:sz="0" w:space="0" w:color="auto"/>
        <w:bottom w:val="none" w:sz="0" w:space="0" w:color="auto"/>
        <w:right w:val="none" w:sz="0" w:space="0" w:color="auto"/>
      </w:divBdr>
      <w:divsChild>
        <w:div w:id="1785615340">
          <w:marLeft w:val="0"/>
          <w:marRight w:val="0"/>
          <w:marTop w:val="0"/>
          <w:marBottom w:val="0"/>
          <w:divBdr>
            <w:top w:val="none" w:sz="0" w:space="0" w:color="auto"/>
            <w:left w:val="none" w:sz="0" w:space="0" w:color="auto"/>
            <w:bottom w:val="none" w:sz="0" w:space="0" w:color="auto"/>
            <w:right w:val="none" w:sz="0" w:space="0" w:color="auto"/>
          </w:divBdr>
          <w:divsChild>
            <w:div w:id="2099056307">
              <w:marLeft w:val="0"/>
              <w:marRight w:val="0"/>
              <w:marTop w:val="0"/>
              <w:marBottom w:val="0"/>
              <w:divBdr>
                <w:top w:val="none" w:sz="0" w:space="0" w:color="auto"/>
                <w:left w:val="none" w:sz="0" w:space="0" w:color="auto"/>
                <w:bottom w:val="none" w:sz="0" w:space="0" w:color="auto"/>
                <w:right w:val="none" w:sz="0" w:space="0" w:color="auto"/>
              </w:divBdr>
              <w:divsChild>
                <w:div w:id="525022118">
                  <w:marLeft w:val="0"/>
                  <w:marRight w:val="-6084"/>
                  <w:marTop w:val="0"/>
                  <w:marBottom w:val="0"/>
                  <w:divBdr>
                    <w:top w:val="none" w:sz="0" w:space="0" w:color="auto"/>
                    <w:left w:val="none" w:sz="0" w:space="0" w:color="auto"/>
                    <w:bottom w:val="none" w:sz="0" w:space="0" w:color="auto"/>
                    <w:right w:val="none" w:sz="0" w:space="0" w:color="auto"/>
                  </w:divBdr>
                  <w:divsChild>
                    <w:div w:id="10690306">
                      <w:marLeft w:val="0"/>
                      <w:marRight w:val="5604"/>
                      <w:marTop w:val="0"/>
                      <w:marBottom w:val="0"/>
                      <w:divBdr>
                        <w:top w:val="none" w:sz="0" w:space="0" w:color="auto"/>
                        <w:left w:val="none" w:sz="0" w:space="0" w:color="auto"/>
                        <w:bottom w:val="none" w:sz="0" w:space="0" w:color="auto"/>
                        <w:right w:val="none" w:sz="0" w:space="0" w:color="auto"/>
                      </w:divBdr>
                      <w:divsChild>
                        <w:div w:id="1336764170">
                          <w:marLeft w:val="0"/>
                          <w:marRight w:val="0"/>
                          <w:marTop w:val="0"/>
                          <w:marBottom w:val="0"/>
                          <w:divBdr>
                            <w:top w:val="none" w:sz="0" w:space="0" w:color="auto"/>
                            <w:left w:val="none" w:sz="0" w:space="0" w:color="auto"/>
                            <w:bottom w:val="none" w:sz="0" w:space="0" w:color="auto"/>
                            <w:right w:val="none" w:sz="0" w:space="0" w:color="auto"/>
                          </w:divBdr>
                          <w:divsChild>
                            <w:div w:id="449709809">
                              <w:marLeft w:val="0"/>
                              <w:marRight w:val="0"/>
                              <w:marTop w:val="120"/>
                              <w:marBottom w:val="360"/>
                              <w:divBdr>
                                <w:top w:val="none" w:sz="0" w:space="0" w:color="auto"/>
                                <w:left w:val="none" w:sz="0" w:space="0" w:color="auto"/>
                                <w:bottom w:val="none" w:sz="0" w:space="0" w:color="auto"/>
                                <w:right w:val="none" w:sz="0" w:space="0" w:color="auto"/>
                              </w:divBdr>
                              <w:divsChild>
                                <w:div w:id="645475038">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042984">
      <w:bodyDiv w:val="1"/>
      <w:marLeft w:val="0"/>
      <w:marRight w:val="0"/>
      <w:marTop w:val="0"/>
      <w:marBottom w:val="0"/>
      <w:divBdr>
        <w:top w:val="none" w:sz="0" w:space="0" w:color="auto"/>
        <w:left w:val="none" w:sz="0" w:space="0" w:color="auto"/>
        <w:bottom w:val="none" w:sz="0" w:space="0" w:color="auto"/>
        <w:right w:val="none" w:sz="0" w:space="0" w:color="auto"/>
      </w:divBdr>
    </w:div>
    <w:div w:id="692413714">
      <w:bodyDiv w:val="1"/>
      <w:marLeft w:val="0"/>
      <w:marRight w:val="0"/>
      <w:marTop w:val="0"/>
      <w:marBottom w:val="0"/>
      <w:divBdr>
        <w:top w:val="none" w:sz="0" w:space="0" w:color="auto"/>
        <w:left w:val="none" w:sz="0" w:space="0" w:color="auto"/>
        <w:bottom w:val="none" w:sz="0" w:space="0" w:color="auto"/>
        <w:right w:val="none" w:sz="0" w:space="0" w:color="auto"/>
      </w:divBdr>
      <w:divsChild>
        <w:div w:id="2016690055">
          <w:marLeft w:val="0"/>
          <w:marRight w:val="0"/>
          <w:marTop w:val="0"/>
          <w:marBottom w:val="0"/>
          <w:divBdr>
            <w:top w:val="none" w:sz="0" w:space="0" w:color="auto"/>
            <w:left w:val="none" w:sz="0" w:space="0" w:color="auto"/>
            <w:bottom w:val="none" w:sz="0" w:space="0" w:color="auto"/>
            <w:right w:val="none" w:sz="0" w:space="0" w:color="auto"/>
          </w:divBdr>
          <w:divsChild>
            <w:div w:id="548105717">
              <w:marLeft w:val="0"/>
              <w:marRight w:val="0"/>
              <w:marTop w:val="0"/>
              <w:marBottom w:val="0"/>
              <w:divBdr>
                <w:top w:val="none" w:sz="0" w:space="0" w:color="auto"/>
                <w:left w:val="none" w:sz="0" w:space="0" w:color="auto"/>
                <w:bottom w:val="none" w:sz="0" w:space="0" w:color="auto"/>
                <w:right w:val="none" w:sz="0" w:space="0" w:color="auto"/>
              </w:divBdr>
              <w:divsChild>
                <w:div w:id="163739063">
                  <w:marLeft w:val="0"/>
                  <w:marRight w:val="0"/>
                  <w:marTop w:val="0"/>
                  <w:marBottom w:val="0"/>
                  <w:divBdr>
                    <w:top w:val="none" w:sz="0" w:space="0" w:color="auto"/>
                    <w:left w:val="none" w:sz="0" w:space="0" w:color="auto"/>
                    <w:bottom w:val="none" w:sz="0" w:space="0" w:color="auto"/>
                    <w:right w:val="none" w:sz="0" w:space="0" w:color="auto"/>
                  </w:divBdr>
                  <w:divsChild>
                    <w:div w:id="298390089">
                      <w:marLeft w:val="0"/>
                      <w:marRight w:val="0"/>
                      <w:marTop w:val="0"/>
                      <w:marBottom w:val="0"/>
                      <w:divBdr>
                        <w:top w:val="none" w:sz="0" w:space="0" w:color="auto"/>
                        <w:left w:val="none" w:sz="0" w:space="0" w:color="auto"/>
                        <w:bottom w:val="none" w:sz="0" w:space="0" w:color="auto"/>
                        <w:right w:val="none" w:sz="0" w:space="0" w:color="auto"/>
                      </w:divBdr>
                      <w:divsChild>
                        <w:div w:id="2100829470">
                          <w:marLeft w:val="0"/>
                          <w:marRight w:val="0"/>
                          <w:marTop w:val="0"/>
                          <w:marBottom w:val="0"/>
                          <w:divBdr>
                            <w:top w:val="none" w:sz="0" w:space="0" w:color="auto"/>
                            <w:left w:val="none" w:sz="0" w:space="0" w:color="auto"/>
                            <w:bottom w:val="none" w:sz="0" w:space="0" w:color="auto"/>
                            <w:right w:val="none" w:sz="0" w:space="0" w:color="auto"/>
                          </w:divBdr>
                          <w:divsChild>
                            <w:div w:id="1278488349">
                              <w:marLeft w:val="0"/>
                              <w:marRight w:val="0"/>
                              <w:marTop w:val="0"/>
                              <w:marBottom w:val="0"/>
                              <w:divBdr>
                                <w:top w:val="none" w:sz="0" w:space="0" w:color="auto"/>
                                <w:left w:val="none" w:sz="0" w:space="0" w:color="auto"/>
                                <w:bottom w:val="none" w:sz="0" w:space="0" w:color="auto"/>
                                <w:right w:val="none" w:sz="0" w:space="0" w:color="auto"/>
                              </w:divBdr>
                              <w:divsChild>
                                <w:div w:id="1301813322">
                                  <w:marLeft w:val="0"/>
                                  <w:marRight w:val="0"/>
                                  <w:marTop w:val="0"/>
                                  <w:marBottom w:val="0"/>
                                  <w:divBdr>
                                    <w:top w:val="none" w:sz="0" w:space="0" w:color="auto"/>
                                    <w:left w:val="none" w:sz="0" w:space="0" w:color="auto"/>
                                    <w:bottom w:val="none" w:sz="0" w:space="0" w:color="auto"/>
                                    <w:right w:val="none" w:sz="0" w:space="0" w:color="auto"/>
                                  </w:divBdr>
                                  <w:divsChild>
                                    <w:div w:id="1108354499">
                                      <w:marLeft w:val="0"/>
                                      <w:marRight w:val="0"/>
                                      <w:marTop w:val="0"/>
                                      <w:marBottom w:val="0"/>
                                      <w:divBdr>
                                        <w:top w:val="none" w:sz="0" w:space="0" w:color="auto"/>
                                        <w:left w:val="none" w:sz="0" w:space="0" w:color="auto"/>
                                        <w:bottom w:val="none" w:sz="0" w:space="0" w:color="auto"/>
                                        <w:right w:val="none" w:sz="0" w:space="0" w:color="auto"/>
                                      </w:divBdr>
                                      <w:divsChild>
                                        <w:div w:id="13583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487785">
      <w:bodyDiv w:val="1"/>
      <w:marLeft w:val="0"/>
      <w:marRight w:val="0"/>
      <w:marTop w:val="0"/>
      <w:marBottom w:val="0"/>
      <w:divBdr>
        <w:top w:val="none" w:sz="0" w:space="0" w:color="auto"/>
        <w:left w:val="none" w:sz="0" w:space="0" w:color="auto"/>
        <w:bottom w:val="none" w:sz="0" w:space="0" w:color="auto"/>
        <w:right w:val="none" w:sz="0" w:space="0" w:color="auto"/>
      </w:divBdr>
    </w:div>
    <w:div w:id="788204793">
      <w:bodyDiv w:val="1"/>
      <w:marLeft w:val="0"/>
      <w:marRight w:val="0"/>
      <w:marTop w:val="0"/>
      <w:marBottom w:val="0"/>
      <w:divBdr>
        <w:top w:val="none" w:sz="0" w:space="0" w:color="auto"/>
        <w:left w:val="none" w:sz="0" w:space="0" w:color="auto"/>
        <w:bottom w:val="none" w:sz="0" w:space="0" w:color="auto"/>
        <w:right w:val="none" w:sz="0" w:space="0" w:color="auto"/>
      </w:divBdr>
      <w:divsChild>
        <w:div w:id="1128468769">
          <w:marLeft w:val="0"/>
          <w:marRight w:val="0"/>
          <w:marTop w:val="0"/>
          <w:marBottom w:val="0"/>
          <w:divBdr>
            <w:top w:val="none" w:sz="0" w:space="0" w:color="auto"/>
            <w:left w:val="none" w:sz="0" w:space="0" w:color="auto"/>
            <w:bottom w:val="none" w:sz="0" w:space="0" w:color="auto"/>
            <w:right w:val="none" w:sz="0" w:space="0" w:color="auto"/>
          </w:divBdr>
          <w:divsChild>
            <w:div w:id="1419980381">
              <w:marLeft w:val="0"/>
              <w:marRight w:val="0"/>
              <w:marTop w:val="0"/>
              <w:marBottom w:val="0"/>
              <w:divBdr>
                <w:top w:val="none" w:sz="0" w:space="0" w:color="auto"/>
                <w:left w:val="none" w:sz="0" w:space="0" w:color="auto"/>
                <w:bottom w:val="none" w:sz="0" w:space="0" w:color="auto"/>
                <w:right w:val="none" w:sz="0" w:space="0" w:color="auto"/>
              </w:divBdr>
              <w:divsChild>
                <w:div w:id="477920670">
                  <w:marLeft w:val="0"/>
                  <w:marRight w:val="0"/>
                  <w:marTop w:val="0"/>
                  <w:marBottom w:val="0"/>
                  <w:divBdr>
                    <w:top w:val="none" w:sz="0" w:space="0" w:color="auto"/>
                    <w:left w:val="none" w:sz="0" w:space="0" w:color="auto"/>
                    <w:bottom w:val="none" w:sz="0" w:space="0" w:color="auto"/>
                    <w:right w:val="none" w:sz="0" w:space="0" w:color="auto"/>
                  </w:divBdr>
                  <w:divsChild>
                    <w:div w:id="1051271788">
                      <w:marLeft w:val="0"/>
                      <w:marRight w:val="0"/>
                      <w:marTop w:val="0"/>
                      <w:marBottom w:val="0"/>
                      <w:divBdr>
                        <w:top w:val="none" w:sz="0" w:space="0" w:color="auto"/>
                        <w:left w:val="none" w:sz="0" w:space="0" w:color="auto"/>
                        <w:bottom w:val="none" w:sz="0" w:space="0" w:color="auto"/>
                        <w:right w:val="none" w:sz="0" w:space="0" w:color="auto"/>
                      </w:divBdr>
                      <w:divsChild>
                        <w:div w:id="1150290866">
                          <w:marLeft w:val="0"/>
                          <w:marRight w:val="0"/>
                          <w:marTop w:val="0"/>
                          <w:marBottom w:val="0"/>
                          <w:divBdr>
                            <w:top w:val="none" w:sz="0" w:space="0" w:color="auto"/>
                            <w:left w:val="none" w:sz="0" w:space="0" w:color="auto"/>
                            <w:bottom w:val="none" w:sz="0" w:space="0" w:color="auto"/>
                            <w:right w:val="none" w:sz="0" w:space="0" w:color="auto"/>
                          </w:divBdr>
                          <w:divsChild>
                            <w:div w:id="1068579729">
                              <w:marLeft w:val="0"/>
                              <w:marRight w:val="0"/>
                              <w:marTop w:val="0"/>
                              <w:marBottom w:val="0"/>
                              <w:divBdr>
                                <w:top w:val="none" w:sz="0" w:space="0" w:color="auto"/>
                                <w:left w:val="none" w:sz="0" w:space="0" w:color="auto"/>
                                <w:bottom w:val="none" w:sz="0" w:space="0" w:color="auto"/>
                                <w:right w:val="none" w:sz="0" w:space="0" w:color="auto"/>
                              </w:divBdr>
                              <w:divsChild>
                                <w:div w:id="526255563">
                                  <w:marLeft w:val="0"/>
                                  <w:marRight w:val="0"/>
                                  <w:marTop w:val="0"/>
                                  <w:marBottom w:val="0"/>
                                  <w:divBdr>
                                    <w:top w:val="none" w:sz="0" w:space="0" w:color="auto"/>
                                    <w:left w:val="none" w:sz="0" w:space="0" w:color="auto"/>
                                    <w:bottom w:val="none" w:sz="0" w:space="0" w:color="auto"/>
                                    <w:right w:val="none" w:sz="0" w:space="0" w:color="auto"/>
                                  </w:divBdr>
                                  <w:divsChild>
                                    <w:div w:id="1890070195">
                                      <w:marLeft w:val="0"/>
                                      <w:marRight w:val="0"/>
                                      <w:marTop w:val="0"/>
                                      <w:marBottom w:val="0"/>
                                      <w:divBdr>
                                        <w:top w:val="none" w:sz="0" w:space="0" w:color="auto"/>
                                        <w:left w:val="none" w:sz="0" w:space="0" w:color="auto"/>
                                        <w:bottom w:val="none" w:sz="0" w:space="0" w:color="auto"/>
                                        <w:right w:val="none" w:sz="0" w:space="0" w:color="auto"/>
                                      </w:divBdr>
                                      <w:divsChild>
                                        <w:div w:id="14850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342716">
      <w:bodyDiv w:val="1"/>
      <w:marLeft w:val="0"/>
      <w:marRight w:val="0"/>
      <w:marTop w:val="0"/>
      <w:marBottom w:val="0"/>
      <w:divBdr>
        <w:top w:val="none" w:sz="0" w:space="0" w:color="auto"/>
        <w:left w:val="none" w:sz="0" w:space="0" w:color="auto"/>
        <w:bottom w:val="none" w:sz="0" w:space="0" w:color="auto"/>
        <w:right w:val="none" w:sz="0" w:space="0" w:color="auto"/>
      </w:divBdr>
    </w:div>
    <w:div w:id="937446124">
      <w:bodyDiv w:val="1"/>
      <w:marLeft w:val="0"/>
      <w:marRight w:val="0"/>
      <w:marTop w:val="0"/>
      <w:marBottom w:val="0"/>
      <w:divBdr>
        <w:top w:val="none" w:sz="0" w:space="0" w:color="auto"/>
        <w:left w:val="none" w:sz="0" w:space="0" w:color="auto"/>
        <w:bottom w:val="none" w:sz="0" w:space="0" w:color="auto"/>
        <w:right w:val="none" w:sz="0" w:space="0" w:color="auto"/>
      </w:divBdr>
      <w:divsChild>
        <w:div w:id="1257860462">
          <w:marLeft w:val="0"/>
          <w:marRight w:val="0"/>
          <w:marTop w:val="0"/>
          <w:marBottom w:val="0"/>
          <w:divBdr>
            <w:top w:val="none" w:sz="0" w:space="0" w:color="auto"/>
            <w:left w:val="none" w:sz="0" w:space="0" w:color="auto"/>
            <w:bottom w:val="none" w:sz="0" w:space="0" w:color="auto"/>
            <w:right w:val="none" w:sz="0" w:space="0" w:color="auto"/>
          </w:divBdr>
          <w:divsChild>
            <w:div w:id="610280295">
              <w:marLeft w:val="0"/>
              <w:marRight w:val="0"/>
              <w:marTop w:val="0"/>
              <w:marBottom w:val="0"/>
              <w:divBdr>
                <w:top w:val="none" w:sz="0" w:space="0" w:color="auto"/>
                <w:left w:val="none" w:sz="0" w:space="0" w:color="auto"/>
                <w:bottom w:val="none" w:sz="0" w:space="0" w:color="auto"/>
                <w:right w:val="none" w:sz="0" w:space="0" w:color="auto"/>
              </w:divBdr>
              <w:divsChild>
                <w:div w:id="176771699">
                  <w:marLeft w:val="0"/>
                  <w:marRight w:val="0"/>
                  <w:marTop w:val="0"/>
                  <w:marBottom w:val="0"/>
                  <w:divBdr>
                    <w:top w:val="none" w:sz="0" w:space="0" w:color="auto"/>
                    <w:left w:val="none" w:sz="0" w:space="0" w:color="auto"/>
                    <w:bottom w:val="none" w:sz="0" w:space="0" w:color="auto"/>
                    <w:right w:val="none" w:sz="0" w:space="0" w:color="auto"/>
                  </w:divBdr>
                  <w:divsChild>
                    <w:div w:id="1020935546">
                      <w:marLeft w:val="0"/>
                      <w:marRight w:val="0"/>
                      <w:marTop w:val="0"/>
                      <w:marBottom w:val="0"/>
                      <w:divBdr>
                        <w:top w:val="none" w:sz="0" w:space="0" w:color="auto"/>
                        <w:left w:val="none" w:sz="0" w:space="0" w:color="auto"/>
                        <w:bottom w:val="none" w:sz="0" w:space="0" w:color="auto"/>
                        <w:right w:val="none" w:sz="0" w:space="0" w:color="auto"/>
                      </w:divBdr>
                      <w:divsChild>
                        <w:div w:id="1267155704">
                          <w:marLeft w:val="0"/>
                          <w:marRight w:val="0"/>
                          <w:marTop w:val="0"/>
                          <w:marBottom w:val="0"/>
                          <w:divBdr>
                            <w:top w:val="none" w:sz="0" w:space="0" w:color="auto"/>
                            <w:left w:val="none" w:sz="0" w:space="0" w:color="auto"/>
                            <w:bottom w:val="none" w:sz="0" w:space="0" w:color="auto"/>
                            <w:right w:val="none" w:sz="0" w:space="0" w:color="auto"/>
                          </w:divBdr>
                          <w:divsChild>
                            <w:div w:id="744692229">
                              <w:marLeft w:val="0"/>
                              <w:marRight w:val="0"/>
                              <w:marTop w:val="0"/>
                              <w:marBottom w:val="0"/>
                              <w:divBdr>
                                <w:top w:val="none" w:sz="0" w:space="0" w:color="auto"/>
                                <w:left w:val="none" w:sz="0" w:space="0" w:color="auto"/>
                                <w:bottom w:val="none" w:sz="0" w:space="0" w:color="auto"/>
                                <w:right w:val="none" w:sz="0" w:space="0" w:color="auto"/>
                              </w:divBdr>
                              <w:divsChild>
                                <w:div w:id="1515651867">
                                  <w:marLeft w:val="0"/>
                                  <w:marRight w:val="0"/>
                                  <w:marTop w:val="0"/>
                                  <w:marBottom w:val="0"/>
                                  <w:divBdr>
                                    <w:top w:val="none" w:sz="0" w:space="0" w:color="auto"/>
                                    <w:left w:val="none" w:sz="0" w:space="0" w:color="auto"/>
                                    <w:bottom w:val="none" w:sz="0" w:space="0" w:color="auto"/>
                                    <w:right w:val="none" w:sz="0" w:space="0" w:color="auto"/>
                                  </w:divBdr>
                                  <w:divsChild>
                                    <w:div w:id="693187496">
                                      <w:marLeft w:val="0"/>
                                      <w:marRight w:val="0"/>
                                      <w:marTop w:val="0"/>
                                      <w:marBottom w:val="0"/>
                                      <w:divBdr>
                                        <w:top w:val="none" w:sz="0" w:space="0" w:color="auto"/>
                                        <w:left w:val="none" w:sz="0" w:space="0" w:color="auto"/>
                                        <w:bottom w:val="none" w:sz="0" w:space="0" w:color="auto"/>
                                        <w:right w:val="none" w:sz="0" w:space="0" w:color="auto"/>
                                      </w:divBdr>
                                      <w:divsChild>
                                        <w:div w:id="7604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854865">
      <w:bodyDiv w:val="1"/>
      <w:marLeft w:val="0"/>
      <w:marRight w:val="0"/>
      <w:marTop w:val="0"/>
      <w:marBottom w:val="0"/>
      <w:divBdr>
        <w:top w:val="none" w:sz="0" w:space="0" w:color="auto"/>
        <w:left w:val="none" w:sz="0" w:space="0" w:color="auto"/>
        <w:bottom w:val="none" w:sz="0" w:space="0" w:color="auto"/>
        <w:right w:val="none" w:sz="0" w:space="0" w:color="auto"/>
      </w:divBdr>
    </w:div>
    <w:div w:id="1140078968">
      <w:bodyDiv w:val="1"/>
      <w:marLeft w:val="0"/>
      <w:marRight w:val="0"/>
      <w:marTop w:val="0"/>
      <w:marBottom w:val="0"/>
      <w:divBdr>
        <w:top w:val="none" w:sz="0" w:space="0" w:color="auto"/>
        <w:left w:val="none" w:sz="0" w:space="0" w:color="auto"/>
        <w:bottom w:val="none" w:sz="0" w:space="0" w:color="auto"/>
        <w:right w:val="none" w:sz="0" w:space="0" w:color="auto"/>
      </w:divBdr>
      <w:divsChild>
        <w:div w:id="453331394">
          <w:marLeft w:val="0"/>
          <w:marRight w:val="0"/>
          <w:marTop w:val="0"/>
          <w:marBottom w:val="0"/>
          <w:divBdr>
            <w:top w:val="none" w:sz="0" w:space="0" w:color="auto"/>
            <w:left w:val="none" w:sz="0" w:space="0" w:color="auto"/>
            <w:bottom w:val="none" w:sz="0" w:space="0" w:color="auto"/>
            <w:right w:val="none" w:sz="0" w:space="0" w:color="auto"/>
          </w:divBdr>
          <w:divsChild>
            <w:div w:id="1910191472">
              <w:marLeft w:val="0"/>
              <w:marRight w:val="0"/>
              <w:marTop w:val="0"/>
              <w:marBottom w:val="0"/>
              <w:divBdr>
                <w:top w:val="none" w:sz="0" w:space="0" w:color="auto"/>
                <w:left w:val="none" w:sz="0" w:space="0" w:color="auto"/>
                <w:bottom w:val="none" w:sz="0" w:space="0" w:color="auto"/>
                <w:right w:val="none" w:sz="0" w:space="0" w:color="auto"/>
              </w:divBdr>
              <w:divsChild>
                <w:div w:id="1894385137">
                  <w:marLeft w:val="0"/>
                  <w:marRight w:val="0"/>
                  <w:marTop w:val="0"/>
                  <w:marBottom w:val="0"/>
                  <w:divBdr>
                    <w:top w:val="none" w:sz="0" w:space="0" w:color="auto"/>
                    <w:left w:val="none" w:sz="0" w:space="0" w:color="auto"/>
                    <w:bottom w:val="none" w:sz="0" w:space="0" w:color="auto"/>
                    <w:right w:val="none" w:sz="0" w:space="0" w:color="auto"/>
                  </w:divBdr>
                  <w:divsChild>
                    <w:div w:id="339507898">
                      <w:marLeft w:val="0"/>
                      <w:marRight w:val="0"/>
                      <w:marTop w:val="0"/>
                      <w:marBottom w:val="0"/>
                      <w:divBdr>
                        <w:top w:val="none" w:sz="0" w:space="0" w:color="auto"/>
                        <w:left w:val="none" w:sz="0" w:space="0" w:color="auto"/>
                        <w:bottom w:val="none" w:sz="0" w:space="0" w:color="auto"/>
                        <w:right w:val="none" w:sz="0" w:space="0" w:color="auto"/>
                      </w:divBdr>
                      <w:divsChild>
                        <w:div w:id="869994194">
                          <w:marLeft w:val="0"/>
                          <w:marRight w:val="0"/>
                          <w:marTop w:val="0"/>
                          <w:marBottom w:val="0"/>
                          <w:divBdr>
                            <w:top w:val="none" w:sz="0" w:space="0" w:color="auto"/>
                            <w:left w:val="none" w:sz="0" w:space="0" w:color="auto"/>
                            <w:bottom w:val="none" w:sz="0" w:space="0" w:color="auto"/>
                            <w:right w:val="none" w:sz="0" w:space="0" w:color="auto"/>
                          </w:divBdr>
                          <w:divsChild>
                            <w:div w:id="46297234">
                              <w:marLeft w:val="0"/>
                              <w:marRight w:val="0"/>
                              <w:marTop w:val="0"/>
                              <w:marBottom w:val="0"/>
                              <w:divBdr>
                                <w:top w:val="none" w:sz="0" w:space="0" w:color="auto"/>
                                <w:left w:val="none" w:sz="0" w:space="0" w:color="auto"/>
                                <w:bottom w:val="none" w:sz="0" w:space="0" w:color="auto"/>
                                <w:right w:val="none" w:sz="0" w:space="0" w:color="auto"/>
                              </w:divBdr>
                              <w:divsChild>
                                <w:div w:id="1218123898">
                                  <w:marLeft w:val="0"/>
                                  <w:marRight w:val="0"/>
                                  <w:marTop w:val="0"/>
                                  <w:marBottom w:val="0"/>
                                  <w:divBdr>
                                    <w:top w:val="none" w:sz="0" w:space="0" w:color="auto"/>
                                    <w:left w:val="none" w:sz="0" w:space="0" w:color="auto"/>
                                    <w:bottom w:val="none" w:sz="0" w:space="0" w:color="auto"/>
                                    <w:right w:val="none" w:sz="0" w:space="0" w:color="auto"/>
                                  </w:divBdr>
                                  <w:divsChild>
                                    <w:div w:id="1610814821">
                                      <w:marLeft w:val="0"/>
                                      <w:marRight w:val="0"/>
                                      <w:marTop w:val="0"/>
                                      <w:marBottom w:val="0"/>
                                      <w:divBdr>
                                        <w:top w:val="none" w:sz="0" w:space="0" w:color="auto"/>
                                        <w:left w:val="none" w:sz="0" w:space="0" w:color="auto"/>
                                        <w:bottom w:val="none" w:sz="0" w:space="0" w:color="auto"/>
                                        <w:right w:val="none" w:sz="0" w:space="0" w:color="auto"/>
                                      </w:divBdr>
                                      <w:divsChild>
                                        <w:div w:id="21271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1132531">
      <w:bodyDiv w:val="1"/>
      <w:marLeft w:val="0"/>
      <w:marRight w:val="0"/>
      <w:marTop w:val="0"/>
      <w:marBottom w:val="0"/>
      <w:divBdr>
        <w:top w:val="none" w:sz="0" w:space="0" w:color="auto"/>
        <w:left w:val="none" w:sz="0" w:space="0" w:color="auto"/>
        <w:bottom w:val="none" w:sz="0" w:space="0" w:color="auto"/>
        <w:right w:val="none" w:sz="0" w:space="0" w:color="auto"/>
      </w:divBdr>
      <w:divsChild>
        <w:div w:id="1026324227">
          <w:marLeft w:val="0"/>
          <w:marRight w:val="0"/>
          <w:marTop w:val="0"/>
          <w:marBottom w:val="0"/>
          <w:divBdr>
            <w:top w:val="none" w:sz="0" w:space="0" w:color="auto"/>
            <w:left w:val="none" w:sz="0" w:space="0" w:color="auto"/>
            <w:bottom w:val="none" w:sz="0" w:space="0" w:color="auto"/>
            <w:right w:val="none" w:sz="0" w:space="0" w:color="auto"/>
          </w:divBdr>
          <w:divsChild>
            <w:div w:id="922836093">
              <w:marLeft w:val="0"/>
              <w:marRight w:val="0"/>
              <w:marTop w:val="0"/>
              <w:marBottom w:val="0"/>
              <w:divBdr>
                <w:top w:val="none" w:sz="0" w:space="0" w:color="auto"/>
                <w:left w:val="none" w:sz="0" w:space="0" w:color="auto"/>
                <w:bottom w:val="none" w:sz="0" w:space="0" w:color="auto"/>
                <w:right w:val="none" w:sz="0" w:space="0" w:color="auto"/>
              </w:divBdr>
              <w:divsChild>
                <w:div w:id="1434663274">
                  <w:marLeft w:val="0"/>
                  <w:marRight w:val="0"/>
                  <w:marTop w:val="0"/>
                  <w:marBottom w:val="0"/>
                  <w:divBdr>
                    <w:top w:val="none" w:sz="0" w:space="0" w:color="auto"/>
                    <w:left w:val="none" w:sz="0" w:space="0" w:color="auto"/>
                    <w:bottom w:val="none" w:sz="0" w:space="0" w:color="auto"/>
                    <w:right w:val="none" w:sz="0" w:space="0" w:color="auto"/>
                  </w:divBdr>
                  <w:divsChild>
                    <w:div w:id="1264457865">
                      <w:marLeft w:val="0"/>
                      <w:marRight w:val="0"/>
                      <w:marTop w:val="0"/>
                      <w:marBottom w:val="0"/>
                      <w:divBdr>
                        <w:top w:val="none" w:sz="0" w:space="0" w:color="auto"/>
                        <w:left w:val="none" w:sz="0" w:space="0" w:color="auto"/>
                        <w:bottom w:val="none" w:sz="0" w:space="0" w:color="auto"/>
                        <w:right w:val="none" w:sz="0" w:space="0" w:color="auto"/>
                      </w:divBdr>
                      <w:divsChild>
                        <w:div w:id="650015617">
                          <w:marLeft w:val="0"/>
                          <w:marRight w:val="0"/>
                          <w:marTop w:val="0"/>
                          <w:marBottom w:val="0"/>
                          <w:divBdr>
                            <w:top w:val="none" w:sz="0" w:space="0" w:color="auto"/>
                            <w:left w:val="none" w:sz="0" w:space="0" w:color="auto"/>
                            <w:bottom w:val="none" w:sz="0" w:space="0" w:color="auto"/>
                            <w:right w:val="none" w:sz="0" w:space="0" w:color="auto"/>
                          </w:divBdr>
                          <w:divsChild>
                            <w:div w:id="1149900589">
                              <w:marLeft w:val="0"/>
                              <w:marRight w:val="0"/>
                              <w:marTop w:val="0"/>
                              <w:marBottom w:val="0"/>
                              <w:divBdr>
                                <w:top w:val="none" w:sz="0" w:space="0" w:color="auto"/>
                                <w:left w:val="none" w:sz="0" w:space="0" w:color="auto"/>
                                <w:bottom w:val="none" w:sz="0" w:space="0" w:color="auto"/>
                                <w:right w:val="none" w:sz="0" w:space="0" w:color="auto"/>
                              </w:divBdr>
                              <w:divsChild>
                                <w:div w:id="1403598043">
                                  <w:marLeft w:val="0"/>
                                  <w:marRight w:val="0"/>
                                  <w:marTop w:val="0"/>
                                  <w:marBottom w:val="0"/>
                                  <w:divBdr>
                                    <w:top w:val="none" w:sz="0" w:space="0" w:color="auto"/>
                                    <w:left w:val="none" w:sz="0" w:space="0" w:color="auto"/>
                                    <w:bottom w:val="none" w:sz="0" w:space="0" w:color="auto"/>
                                    <w:right w:val="none" w:sz="0" w:space="0" w:color="auto"/>
                                  </w:divBdr>
                                  <w:divsChild>
                                    <w:div w:id="29847859">
                                      <w:marLeft w:val="0"/>
                                      <w:marRight w:val="0"/>
                                      <w:marTop w:val="0"/>
                                      <w:marBottom w:val="0"/>
                                      <w:divBdr>
                                        <w:top w:val="none" w:sz="0" w:space="0" w:color="auto"/>
                                        <w:left w:val="none" w:sz="0" w:space="0" w:color="auto"/>
                                        <w:bottom w:val="none" w:sz="0" w:space="0" w:color="auto"/>
                                        <w:right w:val="none" w:sz="0" w:space="0" w:color="auto"/>
                                      </w:divBdr>
                                      <w:divsChild>
                                        <w:div w:id="8992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475256">
      <w:bodyDiv w:val="1"/>
      <w:marLeft w:val="0"/>
      <w:marRight w:val="0"/>
      <w:marTop w:val="0"/>
      <w:marBottom w:val="0"/>
      <w:divBdr>
        <w:top w:val="none" w:sz="0" w:space="0" w:color="auto"/>
        <w:left w:val="none" w:sz="0" w:space="0" w:color="auto"/>
        <w:bottom w:val="none" w:sz="0" w:space="0" w:color="auto"/>
        <w:right w:val="none" w:sz="0" w:space="0" w:color="auto"/>
      </w:divBdr>
      <w:divsChild>
        <w:div w:id="1596547694">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554128272">
                  <w:marLeft w:val="0"/>
                  <w:marRight w:val="0"/>
                  <w:marTop w:val="0"/>
                  <w:marBottom w:val="0"/>
                  <w:divBdr>
                    <w:top w:val="none" w:sz="0" w:space="0" w:color="auto"/>
                    <w:left w:val="none" w:sz="0" w:space="0" w:color="auto"/>
                    <w:bottom w:val="none" w:sz="0" w:space="0" w:color="auto"/>
                    <w:right w:val="none" w:sz="0" w:space="0" w:color="auto"/>
                  </w:divBdr>
                  <w:divsChild>
                    <w:div w:id="704329559">
                      <w:marLeft w:val="0"/>
                      <w:marRight w:val="0"/>
                      <w:marTop w:val="0"/>
                      <w:marBottom w:val="0"/>
                      <w:divBdr>
                        <w:top w:val="none" w:sz="0" w:space="0" w:color="auto"/>
                        <w:left w:val="none" w:sz="0" w:space="0" w:color="auto"/>
                        <w:bottom w:val="none" w:sz="0" w:space="0" w:color="auto"/>
                        <w:right w:val="none" w:sz="0" w:space="0" w:color="auto"/>
                      </w:divBdr>
                      <w:divsChild>
                        <w:div w:id="1562404625">
                          <w:marLeft w:val="0"/>
                          <w:marRight w:val="0"/>
                          <w:marTop w:val="0"/>
                          <w:marBottom w:val="0"/>
                          <w:divBdr>
                            <w:top w:val="none" w:sz="0" w:space="0" w:color="auto"/>
                            <w:left w:val="none" w:sz="0" w:space="0" w:color="auto"/>
                            <w:bottom w:val="none" w:sz="0" w:space="0" w:color="auto"/>
                            <w:right w:val="none" w:sz="0" w:space="0" w:color="auto"/>
                          </w:divBdr>
                          <w:divsChild>
                            <w:div w:id="500896962">
                              <w:marLeft w:val="0"/>
                              <w:marRight w:val="0"/>
                              <w:marTop w:val="0"/>
                              <w:marBottom w:val="0"/>
                              <w:divBdr>
                                <w:top w:val="none" w:sz="0" w:space="0" w:color="auto"/>
                                <w:left w:val="none" w:sz="0" w:space="0" w:color="auto"/>
                                <w:bottom w:val="none" w:sz="0" w:space="0" w:color="auto"/>
                                <w:right w:val="none" w:sz="0" w:space="0" w:color="auto"/>
                              </w:divBdr>
                              <w:divsChild>
                                <w:div w:id="402026675">
                                  <w:marLeft w:val="0"/>
                                  <w:marRight w:val="0"/>
                                  <w:marTop w:val="0"/>
                                  <w:marBottom w:val="0"/>
                                  <w:divBdr>
                                    <w:top w:val="none" w:sz="0" w:space="0" w:color="auto"/>
                                    <w:left w:val="none" w:sz="0" w:space="0" w:color="auto"/>
                                    <w:bottom w:val="none" w:sz="0" w:space="0" w:color="auto"/>
                                    <w:right w:val="none" w:sz="0" w:space="0" w:color="auto"/>
                                  </w:divBdr>
                                  <w:divsChild>
                                    <w:div w:id="336230406">
                                      <w:marLeft w:val="0"/>
                                      <w:marRight w:val="0"/>
                                      <w:marTop w:val="0"/>
                                      <w:marBottom w:val="0"/>
                                      <w:divBdr>
                                        <w:top w:val="none" w:sz="0" w:space="0" w:color="auto"/>
                                        <w:left w:val="none" w:sz="0" w:space="0" w:color="auto"/>
                                        <w:bottom w:val="none" w:sz="0" w:space="0" w:color="auto"/>
                                        <w:right w:val="none" w:sz="0" w:space="0" w:color="auto"/>
                                      </w:divBdr>
                                      <w:divsChild>
                                        <w:div w:id="21212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087092">
      <w:bodyDiv w:val="1"/>
      <w:marLeft w:val="0"/>
      <w:marRight w:val="0"/>
      <w:marTop w:val="0"/>
      <w:marBottom w:val="0"/>
      <w:divBdr>
        <w:top w:val="none" w:sz="0" w:space="0" w:color="auto"/>
        <w:left w:val="none" w:sz="0" w:space="0" w:color="auto"/>
        <w:bottom w:val="none" w:sz="0" w:space="0" w:color="auto"/>
        <w:right w:val="none" w:sz="0" w:space="0" w:color="auto"/>
      </w:divBdr>
    </w:div>
    <w:div w:id="1306471948">
      <w:bodyDiv w:val="1"/>
      <w:marLeft w:val="0"/>
      <w:marRight w:val="0"/>
      <w:marTop w:val="0"/>
      <w:marBottom w:val="0"/>
      <w:divBdr>
        <w:top w:val="none" w:sz="0" w:space="0" w:color="auto"/>
        <w:left w:val="none" w:sz="0" w:space="0" w:color="auto"/>
        <w:bottom w:val="none" w:sz="0" w:space="0" w:color="auto"/>
        <w:right w:val="none" w:sz="0" w:space="0" w:color="auto"/>
      </w:divBdr>
      <w:divsChild>
        <w:div w:id="1545825283">
          <w:marLeft w:val="0"/>
          <w:marRight w:val="0"/>
          <w:marTop w:val="0"/>
          <w:marBottom w:val="0"/>
          <w:divBdr>
            <w:top w:val="none" w:sz="0" w:space="0" w:color="auto"/>
            <w:left w:val="none" w:sz="0" w:space="0" w:color="auto"/>
            <w:bottom w:val="none" w:sz="0" w:space="0" w:color="auto"/>
            <w:right w:val="none" w:sz="0" w:space="0" w:color="auto"/>
          </w:divBdr>
          <w:divsChild>
            <w:div w:id="850950168">
              <w:marLeft w:val="0"/>
              <w:marRight w:val="0"/>
              <w:marTop w:val="0"/>
              <w:marBottom w:val="0"/>
              <w:divBdr>
                <w:top w:val="none" w:sz="0" w:space="0" w:color="auto"/>
                <w:left w:val="none" w:sz="0" w:space="0" w:color="auto"/>
                <w:bottom w:val="none" w:sz="0" w:space="0" w:color="auto"/>
                <w:right w:val="none" w:sz="0" w:space="0" w:color="auto"/>
              </w:divBdr>
              <w:divsChild>
                <w:div w:id="629088913">
                  <w:marLeft w:val="0"/>
                  <w:marRight w:val="0"/>
                  <w:marTop w:val="0"/>
                  <w:marBottom w:val="0"/>
                  <w:divBdr>
                    <w:top w:val="none" w:sz="0" w:space="0" w:color="auto"/>
                    <w:left w:val="none" w:sz="0" w:space="0" w:color="auto"/>
                    <w:bottom w:val="none" w:sz="0" w:space="0" w:color="auto"/>
                    <w:right w:val="none" w:sz="0" w:space="0" w:color="auto"/>
                  </w:divBdr>
                  <w:divsChild>
                    <w:div w:id="1518614256">
                      <w:marLeft w:val="0"/>
                      <w:marRight w:val="0"/>
                      <w:marTop w:val="0"/>
                      <w:marBottom w:val="0"/>
                      <w:divBdr>
                        <w:top w:val="none" w:sz="0" w:space="0" w:color="auto"/>
                        <w:left w:val="none" w:sz="0" w:space="0" w:color="auto"/>
                        <w:bottom w:val="none" w:sz="0" w:space="0" w:color="auto"/>
                        <w:right w:val="none" w:sz="0" w:space="0" w:color="auto"/>
                      </w:divBdr>
                      <w:divsChild>
                        <w:div w:id="1431850612">
                          <w:marLeft w:val="0"/>
                          <w:marRight w:val="0"/>
                          <w:marTop w:val="0"/>
                          <w:marBottom w:val="0"/>
                          <w:divBdr>
                            <w:top w:val="none" w:sz="0" w:space="0" w:color="auto"/>
                            <w:left w:val="none" w:sz="0" w:space="0" w:color="auto"/>
                            <w:bottom w:val="none" w:sz="0" w:space="0" w:color="auto"/>
                            <w:right w:val="none" w:sz="0" w:space="0" w:color="auto"/>
                          </w:divBdr>
                          <w:divsChild>
                            <w:div w:id="654526731">
                              <w:marLeft w:val="0"/>
                              <w:marRight w:val="0"/>
                              <w:marTop w:val="0"/>
                              <w:marBottom w:val="0"/>
                              <w:divBdr>
                                <w:top w:val="none" w:sz="0" w:space="0" w:color="auto"/>
                                <w:left w:val="none" w:sz="0" w:space="0" w:color="auto"/>
                                <w:bottom w:val="none" w:sz="0" w:space="0" w:color="auto"/>
                                <w:right w:val="none" w:sz="0" w:space="0" w:color="auto"/>
                              </w:divBdr>
                              <w:divsChild>
                                <w:div w:id="2037347160">
                                  <w:marLeft w:val="0"/>
                                  <w:marRight w:val="0"/>
                                  <w:marTop w:val="0"/>
                                  <w:marBottom w:val="0"/>
                                  <w:divBdr>
                                    <w:top w:val="none" w:sz="0" w:space="0" w:color="auto"/>
                                    <w:left w:val="none" w:sz="0" w:space="0" w:color="auto"/>
                                    <w:bottom w:val="none" w:sz="0" w:space="0" w:color="auto"/>
                                    <w:right w:val="none" w:sz="0" w:space="0" w:color="auto"/>
                                  </w:divBdr>
                                  <w:divsChild>
                                    <w:div w:id="1083068762">
                                      <w:marLeft w:val="0"/>
                                      <w:marRight w:val="0"/>
                                      <w:marTop w:val="0"/>
                                      <w:marBottom w:val="0"/>
                                      <w:divBdr>
                                        <w:top w:val="none" w:sz="0" w:space="0" w:color="auto"/>
                                        <w:left w:val="none" w:sz="0" w:space="0" w:color="auto"/>
                                        <w:bottom w:val="none" w:sz="0" w:space="0" w:color="auto"/>
                                        <w:right w:val="none" w:sz="0" w:space="0" w:color="auto"/>
                                      </w:divBdr>
                                      <w:divsChild>
                                        <w:div w:id="12905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976824">
      <w:bodyDiv w:val="1"/>
      <w:marLeft w:val="0"/>
      <w:marRight w:val="0"/>
      <w:marTop w:val="0"/>
      <w:marBottom w:val="0"/>
      <w:divBdr>
        <w:top w:val="none" w:sz="0" w:space="0" w:color="auto"/>
        <w:left w:val="none" w:sz="0" w:space="0" w:color="auto"/>
        <w:bottom w:val="none" w:sz="0" w:space="0" w:color="auto"/>
        <w:right w:val="none" w:sz="0" w:space="0" w:color="auto"/>
      </w:divBdr>
      <w:divsChild>
        <w:div w:id="1440224796">
          <w:marLeft w:val="0"/>
          <w:marRight w:val="0"/>
          <w:marTop w:val="0"/>
          <w:marBottom w:val="0"/>
          <w:divBdr>
            <w:top w:val="none" w:sz="0" w:space="0" w:color="auto"/>
            <w:left w:val="none" w:sz="0" w:space="0" w:color="auto"/>
            <w:bottom w:val="none" w:sz="0" w:space="0" w:color="auto"/>
            <w:right w:val="none" w:sz="0" w:space="0" w:color="auto"/>
          </w:divBdr>
          <w:divsChild>
            <w:div w:id="477384562">
              <w:marLeft w:val="0"/>
              <w:marRight w:val="0"/>
              <w:marTop w:val="0"/>
              <w:marBottom w:val="0"/>
              <w:divBdr>
                <w:top w:val="none" w:sz="0" w:space="0" w:color="auto"/>
                <w:left w:val="none" w:sz="0" w:space="0" w:color="auto"/>
                <w:bottom w:val="none" w:sz="0" w:space="0" w:color="auto"/>
                <w:right w:val="none" w:sz="0" w:space="0" w:color="auto"/>
              </w:divBdr>
              <w:divsChild>
                <w:div w:id="1042944842">
                  <w:marLeft w:val="0"/>
                  <w:marRight w:val="0"/>
                  <w:marTop w:val="0"/>
                  <w:marBottom w:val="0"/>
                  <w:divBdr>
                    <w:top w:val="none" w:sz="0" w:space="0" w:color="auto"/>
                    <w:left w:val="none" w:sz="0" w:space="0" w:color="auto"/>
                    <w:bottom w:val="none" w:sz="0" w:space="0" w:color="auto"/>
                    <w:right w:val="none" w:sz="0" w:space="0" w:color="auto"/>
                  </w:divBdr>
                  <w:divsChild>
                    <w:div w:id="762798625">
                      <w:marLeft w:val="0"/>
                      <w:marRight w:val="0"/>
                      <w:marTop w:val="0"/>
                      <w:marBottom w:val="0"/>
                      <w:divBdr>
                        <w:top w:val="none" w:sz="0" w:space="0" w:color="auto"/>
                        <w:left w:val="none" w:sz="0" w:space="0" w:color="auto"/>
                        <w:bottom w:val="none" w:sz="0" w:space="0" w:color="auto"/>
                        <w:right w:val="none" w:sz="0" w:space="0" w:color="auto"/>
                      </w:divBdr>
                      <w:divsChild>
                        <w:div w:id="379016823">
                          <w:marLeft w:val="0"/>
                          <w:marRight w:val="0"/>
                          <w:marTop w:val="0"/>
                          <w:marBottom w:val="0"/>
                          <w:divBdr>
                            <w:top w:val="none" w:sz="0" w:space="0" w:color="auto"/>
                            <w:left w:val="none" w:sz="0" w:space="0" w:color="auto"/>
                            <w:bottom w:val="none" w:sz="0" w:space="0" w:color="auto"/>
                            <w:right w:val="none" w:sz="0" w:space="0" w:color="auto"/>
                          </w:divBdr>
                          <w:divsChild>
                            <w:div w:id="400296384">
                              <w:marLeft w:val="0"/>
                              <w:marRight w:val="0"/>
                              <w:marTop w:val="0"/>
                              <w:marBottom w:val="0"/>
                              <w:divBdr>
                                <w:top w:val="none" w:sz="0" w:space="0" w:color="auto"/>
                                <w:left w:val="none" w:sz="0" w:space="0" w:color="auto"/>
                                <w:bottom w:val="none" w:sz="0" w:space="0" w:color="auto"/>
                                <w:right w:val="none" w:sz="0" w:space="0" w:color="auto"/>
                              </w:divBdr>
                              <w:divsChild>
                                <w:div w:id="981957971">
                                  <w:marLeft w:val="0"/>
                                  <w:marRight w:val="0"/>
                                  <w:marTop w:val="0"/>
                                  <w:marBottom w:val="0"/>
                                  <w:divBdr>
                                    <w:top w:val="none" w:sz="0" w:space="0" w:color="auto"/>
                                    <w:left w:val="none" w:sz="0" w:space="0" w:color="auto"/>
                                    <w:bottom w:val="none" w:sz="0" w:space="0" w:color="auto"/>
                                    <w:right w:val="none" w:sz="0" w:space="0" w:color="auto"/>
                                  </w:divBdr>
                                  <w:divsChild>
                                    <w:div w:id="357203528">
                                      <w:marLeft w:val="0"/>
                                      <w:marRight w:val="0"/>
                                      <w:marTop w:val="0"/>
                                      <w:marBottom w:val="0"/>
                                      <w:divBdr>
                                        <w:top w:val="none" w:sz="0" w:space="0" w:color="auto"/>
                                        <w:left w:val="none" w:sz="0" w:space="0" w:color="auto"/>
                                        <w:bottom w:val="none" w:sz="0" w:space="0" w:color="auto"/>
                                        <w:right w:val="none" w:sz="0" w:space="0" w:color="auto"/>
                                      </w:divBdr>
                                      <w:divsChild>
                                        <w:div w:id="130550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738037">
      <w:bodyDiv w:val="1"/>
      <w:marLeft w:val="0"/>
      <w:marRight w:val="0"/>
      <w:marTop w:val="0"/>
      <w:marBottom w:val="0"/>
      <w:divBdr>
        <w:top w:val="none" w:sz="0" w:space="0" w:color="auto"/>
        <w:left w:val="none" w:sz="0" w:space="0" w:color="auto"/>
        <w:bottom w:val="none" w:sz="0" w:space="0" w:color="auto"/>
        <w:right w:val="none" w:sz="0" w:space="0" w:color="auto"/>
      </w:divBdr>
      <w:divsChild>
        <w:div w:id="1333291017">
          <w:marLeft w:val="0"/>
          <w:marRight w:val="1"/>
          <w:marTop w:val="0"/>
          <w:marBottom w:val="0"/>
          <w:divBdr>
            <w:top w:val="none" w:sz="0" w:space="0" w:color="auto"/>
            <w:left w:val="none" w:sz="0" w:space="0" w:color="auto"/>
            <w:bottom w:val="none" w:sz="0" w:space="0" w:color="auto"/>
            <w:right w:val="none" w:sz="0" w:space="0" w:color="auto"/>
          </w:divBdr>
          <w:divsChild>
            <w:div w:id="246616848">
              <w:marLeft w:val="0"/>
              <w:marRight w:val="0"/>
              <w:marTop w:val="0"/>
              <w:marBottom w:val="0"/>
              <w:divBdr>
                <w:top w:val="none" w:sz="0" w:space="0" w:color="auto"/>
                <w:left w:val="none" w:sz="0" w:space="0" w:color="auto"/>
                <w:bottom w:val="none" w:sz="0" w:space="0" w:color="auto"/>
                <w:right w:val="none" w:sz="0" w:space="0" w:color="auto"/>
              </w:divBdr>
              <w:divsChild>
                <w:div w:id="1640068892">
                  <w:marLeft w:val="0"/>
                  <w:marRight w:val="1"/>
                  <w:marTop w:val="0"/>
                  <w:marBottom w:val="0"/>
                  <w:divBdr>
                    <w:top w:val="none" w:sz="0" w:space="0" w:color="auto"/>
                    <w:left w:val="none" w:sz="0" w:space="0" w:color="auto"/>
                    <w:bottom w:val="none" w:sz="0" w:space="0" w:color="auto"/>
                    <w:right w:val="none" w:sz="0" w:space="0" w:color="auto"/>
                  </w:divBdr>
                  <w:divsChild>
                    <w:div w:id="1563518368">
                      <w:marLeft w:val="0"/>
                      <w:marRight w:val="0"/>
                      <w:marTop w:val="0"/>
                      <w:marBottom w:val="0"/>
                      <w:divBdr>
                        <w:top w:val="none" w:sz="0" w:space="0" w:color="auto"/>
                        <w:left w:val="none" w:sz="0" w:space="0" w:color="auto"/>
                        <w:bottom w:val="none" w:sz="0" w:space="0" w:color="auto"/>
                        <w:right w:val="none" w:sz="0" w:space="0" w:color="auto"/>
                      </w:divBdr>
                      <w:divsChild>
                        <w:div w:id="1164466051">
                          <w:marLeft w:val="0"/>
                          <w:marRight w:val="0"/>
                          <w:marTop w:val="0"/>
                          <w:marBottom w:val="0"/>
                          <w:divBdr>
                            <w:top w:val="none" w:sz="0" w:space="0" w:color="auto"/>
                            <w:left w:val="none" w:sz="0" w:space="0" w:color="auto"/>
                            <w:bottom w:val="none" w:sz="0" w:space="0" w:color="auto"/>
                            <w:right w:val="none" w:sz="0" w:space="0" w:color="auto"/>
                          </w:divBdr>
                          <w:divsChild>
                            <w:div w:id="104623065">
                              <w:marLeft w:val="0"/>
                              <w:marRight w:val="0"/>
                              <w:marTop w:val="120"/>
                              <w:marBottom w:val="360"/>
                              <w:divBdr>
                                <w:top w:val="none" w:sz="0" w:space="0" w:color="auto"/>
                                <w:left w:val="none" w:sz="0" w:space="0" w:color="auto"/>
                                <w:bottom w:val="none" w:sz="0" w:space="0" w:color="auto"/>
                                <w:right w:val="none" w:sz="0" w:space="0" w:color="auto"/>
                              </w:divBdr>
                              <w:divsChild>
                                <w:div w:id="1501116633">
                                  <w:marLeft w:val="0"/>
                                  <w:marRight w:val="0"/>
                                  <w:marTop w:val="0"/>
                                  <w:marBottom w:val="0"/>
                                  <w:divBdr>
                                    <w:top w:val="none" w:sz="0" w:space="0" w:color="auto"/>
                                    <w:left w:val="none" w:sz="0" w:space="0" w:color="auto"/>
                                    <w:bottom w:val="none" w:sz="0" w:space="0" w:color="auto"/>
                                    <w:right w:val="none" w:sz="0" w:space="0" w:color="auto"/>
                                  </w:divBdr>
                                </w:div>
                                <w:div w:id="1567573367">
                                  <w:marLeft w:val="420"/>
                                  <w:marRight w:val="0"/>
                                  <w:marTop w:val="0"/>
                                  <w:marBottom w:val="0"/>
                                  <w:divBdr>
                                    <w:top w:val="none" w:sz="0" w:space="0" w:color="auto"/>
                                    <w:left w:val="none" w:sz="0" w:space="0" w:color="auto"/>
                                    <w:bottom w:val="none" w:sz="0" w:space="0" w:color="auto"/>
                                    <w:right w:val="none" w:sz="0" w:space="0" w:color="auto"/>
                                  </w:divBdr>
                                  <w:divsChild>
                                    <w:div w:id="1042553947">
                                      <w:marLeft w:val="0"/>
                                      <w:marRight w:val="0"/>
                                      <w:marTop w:val="0"/>
                                      <w:marBottom w:val="0"/>
                                      <w:divBdr>
                                        <w:top w:val="none" w:sz="0" w:space="0" w:color="auto"/>
                                        <w:left w:val="none" w:sz="0" w:space="0" w:color="auto"/>
                                        <w:bottom w:val="none" w:sz="0" w:space="0" w:color="auto"/>
                                        <w:right w:val="none" w:sz="0" w:space="0" w:color="auto"/>
                                      </w:divBdr>
                                      <w:divsChild>
                                        <w:div w:id="944112922">
                                          <w:marLeft w:val="0"/>
                                          <w:marRight w:val="0"/>
                                          <w:marTop w:val="0"/>
                                          <w:marBottom w:val="0"/>
                                          <w:divBdr>
                                            <w:top w:val="none" w:sz="0" w:space="0" w:color="auto"/>
                                            <w:left w:val="none" w:sz="0" w:space="0" w:color="auto"/>
                                            <w:bottom w:val="none" w:sz="0" w:space="0" w:color="auto"/>
                                            <w:right w:val="none" w:sz="0" w:space="0" w:color="auto"/>
                                          </w:divBdr>
                                        </w:div>
                                      </w:divsChild>
                                    </w:div>
                                    <w:div w:id="20361545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344943676">
                              <w:marLeft w:val="0"/>
                              <w:marRight w:val="0"/>
                              <w:marTop w:val="120"/>
                              <w:marBottom w:val="360"/>
                              <w:divBdr>
                                <w:top w:val="none" w:sz="0" w:space="0" w:color="auto"/>
                                <w:left w:val="none" w:sz="0" w:space="0" w:color="auto"/>
                                <w:bottom w:val="none" w:sz="0" w:space="0" w:color="auto"/>
                                <w:right w:val="none" w:sz="0" w:space="0" w:color="auto"/>
                              </w:divBdr>
                              <w:divsChild>
                                <w:div w:id="390618485">
                                  <w:marLeft w:val="0"/>
                                  <w:marRight w:val="0"/>
                                  <w:marTop w:val="0"/>
                                  <w:marBottom w:val="0"/>
                                  <w:divBdr>
                                    <w:top w:val="none" w:sz="0" w:space="0" w:color="auto"/>
                                    <w:left w:val="none" w:sz="0" w:space="0" w:color="auto"/>
                                    <w:bottom w:val="none" w:sz="0" w:space="0" w:color="auto"/>
                                    <w:right w:val="none" w:sz="0" w:space="0" w:color="auto"/>
                                  </w:divBdr>
                                </w:div>
                                <w:div w:id="1959335311">
                                  <w:marLeft w:val="420"/>
                                  <w:marRight w:val="0"/>
                                  <w:marTop w:val="0"/>
                                  <w:marBottom w:val="0"/>
                                  <w:divBdr>
                                    <w:top w:val="none" w:sz="0" w:space="0" w:color="auto"/>
                                    <w:left w:val="none" w:sz="0" w:space="0" w:color="auto"/>
                                    <w:bottom w:val="none" w:sz="0" w:space="0" w:color="auto"/>
                                    <w:right w:val="none" w:sz="0" w:space="0" w:color="auto"/>
                                  </w:divBdr>
                                  <w:divsChild>
                                    <w:div w:id="1521318016">
                                      <w:marLeft w:val="0"/>
                                      <w:marRight w:val="0"/>
                                      <w:marTop w:val="0"/>
                                      <w:marBottom w:val="0"/>
                                      <w:divBdr>
                                        <w:top w:val="none" w:sz="0" w:space="0" w:color="auto"/>
                                        <w:left w:val="none" w:sz="0" w:space="0" w:color="auto"/>
                                        <w:bottom w:val="none" w:sz="0" w:space="0" w:color="auto"/>
                                        <w:right w:val="none" w:sz="0" w:space="0" w:color="auto"/>
                                      </w:divBdr>
                                      <w:divsChild>
                                        <w:div w:id="244152050">
                                          <w:marLeft w:val="0"/>
                                          <w:marRight w:val="0"/>
                                          <w:marTop w:val="0"/>
                                          <w:marBottom w:val="0"/>
                                          <w:divBdr>
                                            <w:top w:val="none" w:sz="0" w:space="0" w:color="auto"/>
                                            <w:left w:val="none" w:sz="0" w:space="0" w:color="auto"/>
                                            <w:bottom w:val="none" w:sz="0" w:space="0" w:color="auto"/>
                                            <w:right w:val="none" w:sz="0" w:space="0" w:color="auto"/>
                                          </w:divBdr>
                                        </w:div>
                                      </w:divsChild>
                                    </w:div>
                                    <w:div w:id="16477387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366419393">
                              <w:marLeft w:val="0"/>
                              <w:marRight w:val="0"/>
                              <w:marTop w:val="120"/>
                              <w:marBottom w:val="360"/>
                              <w:divBdr>
                                <w:top w:val="none" w:sz="0" w:space="0" w:color="auto"/>
                                <w:left w:val="none" w:sz="0" w:space="0" w:color="auto"/>
                                <w:bottom w:val="none" w:sz="0" w:space="0" w:color="auto"/>
                                <w:right w:val="none" w:sz="0" w:space="0" w:color="auto"/>
                              </w:divBdr>
                              <w:divsChild>
                                <w:div w:id="678697569">
                                  <w:marLeft w:val="420"/>
                                  <w:marRight w:val="0"/>
                                  <w:marTop w:val="0"/>
                                  <w:marBottom w:val="0"/>
                                  <w:divBdr>
                                    <w:top w:val="none" w:sz="0" w:space="0" w:color="auto"/>
                                    <w:left w:val="none" w:sz="0" w:space="0" w:color="auto"/>
                                    <w:bottom w:val="none" w:sz="0" w:space="0" w:color="auto"/>
                                    <w:right w:val="none" w:sz="0" w:space="0" w:color="auto"/>
                                  </w:divBdr>
                                  <w:divsChild>
                                    <w:div w:id="1430812728">
                                      <w:marLeft w:val="0"/>
                                      <w:marRight w:val="0"/>
                                      <w:marTop w:val="0"/>
                                      <w:marBottom w:val="0"/>
                                      <w:divBdr>
                                        <w:top w:val="none" w:sz="0" w:space="0" w:color="auto"/>
                                        <w:left w:val="none" w:sz="0" w:space="0" w:color="auto"/>
                                        <w:bottom w:val="none" w:sz="0" w:space="0" w:color="auto"/>
                                        <w:right w:val="none" w:sz="0" w:space="0" w:color="auto"/>
                                      </w:divBdr>
                                      <w:divsChild>
                                        <w:div w:id="1993100252">
                                          <w:marLeft w:val="0"/>
                                          <w:marRight w:val="0"/>
                                          <w:marTop w:val="0"/>
                                          <w:marBottom w:val="0"/>
                                          <w:divBdr>
                                            <w:top w:val="none" w:sz="0" w:space="0" w:color="auto"/>
                                            <w:left w:val="none" w:sz="0" w:space="0" w:color="auto"/>
                                            <w:bottom w:val="none" w:sz="0" w:space="0" w:color="auto"/>
                                            <w:right w:val="none" w:sz="0" w:space="0" w:color="auto"/>
                                          </w:divBdr>
                                        </w:div>
                                      </w:divsChild>
                                    </w:div>
                                    <w:div w:id="1690597487">
                                      <w:marLeft w:val="0"/>
                                      <w:marRight w:val="0"/>
                                      <w:marTop w:val="34"/>
                                      <w:marBottom w:val="34"/>
                                      <w:divBdr>
                                        <w:top w:val="none" w:sz="0" w:space="0" w:color="auto"/>
                                        <w:left w:val="none" w:sz="0" w:space="0" w:color="auto"/>
                                        <w:bottom w:val="none" w:sz="0" w:space="0" w:color="auto"/>
                                        <w:right w:val="none" w:sz="0" w:space="0" w:color="auto"/>
                                      </w:divBdr>
                                    </w:div>
                                  </w:divsChild>
                                </w:div>
                                <w:div w:id="1871261321">
                                  <w:marLeft w:val="0"/>
                                  <w:marRight w:val="0"/>
                                  <w:marTop w:val="0"/>
                                  <w:marBottom w:val="0"/>
                                  <w:divBdr>
                                    <w:top w:val="none" w:sz="0" w:space="0" w:color="auto"/>
                                    <w:left w:val="none" w:sz="0" w:space="0" w:color="auto"/>
                                    <w:bottom w:val="none" w:sz="0" w:space="0" w:color="auto"/>
                                    <w:right w:val="none" w:sz="0" w:space="0" w:color="auto"/>
                                  </w:divBdr>
                                </w:div>
                              </w:divsChild>
                            </w:div>
                            <w:div w:id="398409606">
                              <w:marLeft w:val="0"/>
                              <w:marRight w:val="0"/>
                              <w:marTop w:val="120"/>
                              <w:marBottom w:val="360"/>
                              <w:divBdr>
                                <w:top w:val="none" w:sz="0" w:space="0" w:color="auto"/>
                                <w:left w:val="none" w:sz="0" w:space="0" w:color="auto"/>
                                <w:bottom w:val="none" w:sz="0" w:space="0" w:color="auto"/>
                                <w:right w:val="none" w:sz="0" w:space="0" w:color="auto"/>
                              </w:divBdr>
                              <w:divsChild>
                                <w:div w:id="311300455">
                                  <w:marLeft w:val="420"/>
                                  <w:marRight w:val="0"/>
                                  <w:marTop w:val="0"/>
                                  <w:marBottom w:val="0"/>
                                  <w:divBdr>
                                    <w:top w:val="none" w:sz="0" w:space="0" w:color="auto"/>
                                    <w:left w:val="none" w:sz="0" w:space="0" w:color="auto"/>
                                    <w:bottom w:val="none" w:sz="0" w:space="0" w:color="auto"/>
                                    <w:right w:val="none" w:sz="0" w:space="0" w:color="auto"/>
                                  </w:divBdr>
                                  <w:divsChild>
                                    <w:div w:id="354961916">
                                      <w:marLeft w:val="0"/>
                                      <w:marRight w:val="0"/>
                                      <w:marTop w:val="34"/>
                                      <w:marBottom w:val="34"/>
                                      <w:divBdr>
                                        <w:top w:val="none" w:sz="0" w:space="0" w:color="auto"/>
                                        <w:left w:val="none" w:sz="0" w:space="0" w:color="auto"/>
                                        <w:bottom w:val="none" w:sz="0" w:space="0" w:color="auto"/>
                                        <w:right w:val="none" w:sz="0" w:space="0" w:color="auto"/>
                                      </w:divBdr>
                                    </w:div>
                                    <w:div w:id="1514952724">
                                      <w:marLeft w:val="0"/>
                                      <w:marRight w:val="0"/>
                                      <w:marTop w:val="0"/>
                                      <w:marBottom w:val="0"/>
                                      <w:divBdr>
                                        <w:top w:val="none" w:sz="0" w:space="0" w:color="auto"/>
                                        <w:left w:val="none" w:sz="0" w:space="0" w:color="auto"/>
                                        <w:bottom w:val="none" w:sz="0" w:space="0" w:color="auto"/>
                                        <w:right w:val="none" w:sz="0" w:space="0" w:color="auto"/>
                                      </w:divBdr>
                                      <w:divsChild>
                                        <w:div w:id="1815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7832">
                                  <w:marLeft w:val="0"/>
                                  <w:marRight w:val="0"/>
                                  <w:marTop w:val="0"/>
                                  <w:marBottom w:val="0"/>
                                  <w:divBdr>
                                    <w:top w:val="none" w:sz="0" w:space="0" w:color="auto"/>
                                    <w:left w:val="none" w:sz="0" w:space="0" w:color="auto"/>
                                    <w:bottom w:val="none" w:sz="0" w:space="0" w:color="auto"/>
                                    <w:right w:val="none" w:sz="0" w:space="0" w:color="auto"/>
                                  </w:divBdr>
                                </w:div>
                              </w:divsChild>
                            </w:div>
                            <w:div w:id="464394720">
                              <w:marLeft w:val="0"/>
                              <w:marRight w:val="0"/>
                              <w:marTop w:val="120"/>
                              <w:marBottom w:val="360"/>
                              <w:divBdr>
                                <w:top w:val="none" w:sz="0" w:space="0" w:color="auto"/>
                                <w:left w:val="none" w:sz="0" w:space="0" w:color="auto"/>
                                <w:bottom w:val="none" w:sz="0" w:space="0" w:color="auto"/>
                                <w:right w:val="none" w:sz="0" w:space="0" w:color="auto"/>
                              </w:divBdr>
                              <w:divsChild>
                                <w:div w:id="189802205">
                                  <w:marLeft w:val="0"/>
                                  <w:marRight w:val="0"/>
                                  <w:marTop w:val="0"/>
                                  <w:marBottom w:val="0"/>
                                  <w:divBdr>
                                    <w:top w:val="none" w:sz="0" w:space="0" w:color="auto"/>
                                    <w:left w:val="none" w:sz="0" w:space="0" w:color="auto"/>
                                    <w:bottom w:val="none" w:sz="0" w:space="0" w:color="auto"/>
                                    <w:right w:val="none" w:sz="0" w:space="0" w:color="auto"/>
                                  </w:divBdr>
                                </w:div>
                                <w:div w:id="726611492">
                                  <w:marLeft w:val="420"/>
                                  <w:marRight w:val="0"/>
                                  <w:marTop w:val="0"/>
                                  <w:marBottom w:val="0"/>
                                  <w:divBdr>
                                    <w:top w:val="none" w:sz="0" w:space="0" w:color="auto"/>
                                    <w:left w:val="none" w:sz="0" w:space="0" w:color="auto"/>
                                    <w:bottom w:val="none" w:sz="0" w:space="0" w:color="auto"/>
                                    <w:right w:val="none" w:sz="0" w:space="0" w:color="auto"/>
                                  </w:divBdr>
                                  <w:divsChild>
                                    <w:div w:id="161284320">
                                      <w:marLeft w:val="0"/>
                                      <w:marRight w:val="0"/>
                                      <w:marTop w:val="34"/>
                                      <w:marBottom w:val="34"/>
                                      <w:divBdr>
                                        <w:top w:val="none" w:sz="0" w:space="0" w:color="auto"/>
                                        <w:left w:val="none" w:sz="0" w:space="0" w:color="auto"/>
                                        <w:bottom w:val="none" w:sz="0" w:space="0" w:color="auto"/>
                                        <w:right w:val="none" w:sz="0" w:space="0" w:color="auto"/>
                                      </w:divBdr>
                                    </w:div>
                                    <w:div w:id="1325544953">
                                      <w:marLeft w:val="0"/>
                                      <w:marRight w:val="0"/>
                                      <w:marTop w:val="0"/>
                                      <w:marBottom w:val="0"/>
                                      <w:divBdr>
                                        <w:top w:val="none" w:sz="0" w:space="0" w:color="auto"/>
                                        <w:left w:val="none" w:sz="0" w:space="0" w:color="auto"/>
                                        <w:bottom w:val="none" w:sz="0" w:space="0" w:color="auto"/>
                                        <w:right w:val="none" w:sz="0" w:space="0" w:color="auto"/>
                                      </w:divBdr>
                                      <w:divsChild>
                                        <w:div w:id="5505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2656">
                              <w:marLeft w:val="0"/>
                              <w:marRight w:val="0"/>
                              <w:marTop w:val="120"/>
                              <w:marBottom w:val="360"/>
                              <w:divBdr>
                                <w:top w:val="none" w:sz="0" w:space="0" w:color="auto"/>
                                <w:left w:val="none" w:sz="0" w:space="0" w:color="auto"/>
                                <w:bottom w:val="none" w:sz="0" w:space="0" w:color="auto"/>
                                <w:right w:val="none" w:sz="0" w:space="0" w:color="auto"/>
                              </w:divBdr>
                              <w:divsChild>
                                <w:div w:id="267587878">
                                  <w:marLeft w:val="0"/>
                                  <w:marRight w:val="0"/>
                                  <w:marTop w:val="0"/>
                                  <w:marBottom w:val="0"/>
                                  <w:divBdr>
                                    <w:top w:val="none" w:sz="0" w:space="0" w:color="auto"/>
                                    <w:left w:val="none" w:sz="0" w:space="0" w:color="auto"/>
                                    <w:bottom w:val="none" w:sz="0" w:space="0" w:color="auto"/>
                                    <w:right w:val="none" w:sz="0" w:space="0" w:color="auto"/>
                                  </w:divBdr>
                                </w:div>
                                <w:div w:id="1125318890">
                                  <w:marLeft w:val="420"/>
                                  <w:marRight w:val="0"/>
                                  <w:marTop w:val="0"/>
                                  <w:marBottom w:val="0"/>
                                  <w:divBdr>
                                    <w:top w:val="none" w:sz="0" w:space="0" w:color="auto"/>
                                    <w:left w:val="none" w:sz="0" w:space="0" w:color="auto"/>
                                    <w:bottom w:val="none" w:sz="0" w:space="0" w:color="auto"/>
                                    <w:right w:val="none" w:sz="0" w:space="0" w:color="auto"/>
                                  </w:divBdr>
                                  <w:divsChild>
                                    <w:div w:id="1169369746">
                                      <w:marLeft w:val="0"/>
                                      <w:marRight w:val="0"/>
                                      <w:marTop w:val="0"/>
                                      <w:marBottom w:val="0"/>
                                      <w:divBdr>
                                        <w:top w:val="none" w:sz="0" w:space="0" w:color="auto"/>
                                        <w:left w:val="none" w:sz="0" w:space="0" w:color="auto"/>
                                        <w:bottom w:val="none" w:sz="0" w:space="0" w:color="auto"/>
                                        <w:right w:val="none" w:sz="0" w:space="0" w:color="auto"/>
                                      </w:divBdr>
                                      <w:divsChild>
                                        <w:div w:id="758522497">
                                          <w:marLeft w:val="0"/>
                                          <w:marRight w:val="0"/>
                                          <w:marTop w:val="0"/>
                                          <w:marBottom w:val="0"/>
                                          <w:divBdr>
                                            <w:top w:val="none" w:sz="0" w:space="0" w:color="auto"/>
                                            <w:left w:val="none" w:sz="0" w:space="0" w:color="auto"/>
                                            <w:bottom w:val="none" w:sz="0" w:space="0" w:color="auto"/>
                                            <w:right w:val="none" w:sz="0" w:space="0" w:color="auto"/>
                                          </w:divBdr>
                                        </w:div>
                                      </w:divsChild>
                                    </w:div>
                                    <w:div w:id="17434853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567688617">
                              <w:marLeft w:val="0"/>
                              <w:marRight w:val="0"/>
                              <w:marTop w:val="120"/>
                              <w:marBottom w:val="360"/>
                              <w:divBdr>
                                <w:top w:val="none" w:sz="0" w:space="0" w:color="auto"/>
                                <w:left w:val="none" w:sz="0" w:space="0" w:color="auto"/>
                                <w:bottom w:val="none" w:sz="0" w:space="0" w:color="auto"/>
                                <w:right w:val="none" w:sz="0" w:space="0" w:color="auto"/>
                              </w:divBdr>
                              <w:divsChild>
                                <w:div w:id="394280902">
                                  <w:marLeft w:val="420"/>
                                  <w:marRight w:val="0"/>
                                  <w:marTop w:val="0"/>
                                  <w:marBottom w:val="0"/>
                                  <w:divBdr>
                                    <w:top w:val="none" w:sz="0" w:space="0" w:color="auto"/>
                                    <w:left w:val="none" w:sz="0" w:space="0" w:color="auto"/>
                                    <w:bottom w:val="none" w:sz="0" w:space="0" w:color="auto"/>
                                    <w:right w:val="none" w:sz="0" w:space="0" w:color="auto"/>
                                  </w:divBdr>
                                  <w:divsChild>
                                    <w:div w:id="362631308">
                                      <w:marLeft w:val="0"/>
                                      <w:marRight w:val="0"/>
                                      <w:marTop w:val="34"/>
                                      <w:marBottom w:val="34"/>
                                      <w:divBdr>
                                        <w:top w:val="none" w:sz="0" w:space="0" w:color="auto"/>
                                        <w:left w:val="none" w:sz="0" w:space="0" w:color="auto"/>
                                        <w:bottom w:val="none" w:sz="0" w:space="0" w:color="auto"/>
                                        <w:right w:val="none" w:sz="0" w:space="0" w:color="auto"/>
                                      </w:divBdr>
                                    </w:div>
                                    <w:div w:id="1776441888">
                                      <w:marLeft w:val="0"/>
                                      <w:marRight w:val="0"/>
                                      <w:marTop w:val="0"/>
                                      <w:marBottom w:val="0"/>
                                      <w:divBdr>
                                        <w:top w:val="none" w:sz="0" w:space="0" w:color="auto"/>
                                        <w:left w:val="none" w:sz="0" w:space="0" w:color="auto"/>
                                        <w:bottom w:val="none" w:sz="0" w:space="0" w:color="auto"/>
                                        <w:right w:val="none" w:sz="0" w:space="0" w:color="auto"/>
                                      </w:divBdr>
                                      <w:divsChild>
                                        <w:div w:id="4505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4538">
                                  <w:marLeft w:val="0"/>
                                  <w:marRight w:val="0"/>
                                  <w:marTop w:val="0"/>
                                  <w:marBottom w:val="0"/>
                                  <w:divBdr>
                                    <w:top w:val="none" w:sz="0" w:space="0" w:color="auto"/>
                                    <w:left w:val="none" w:sz="0" w:space="0" w:color="auto"/>
                                    <w:bottom w:val="none" w:sz="0" w:space="0" w:color="auto"/>
                                    <w:right w:val="none" w:sz="0" w:space="0" w:color="auto"/>
                                  </w:divBdr>
                                </w:div>
                              </w:divsChild>
                            </w:div>
                            <w:div w:id="609123560">
                              <w:marLeft w:val="0"/>
                              <w:marRight w:val="0"/>
                              <w:marTop w:val="120"/>
                              <w:marBottom w:val="360"/>
                              <w:divBdr>
                                <w:top w:val="none" w:sz="0" w:space="0" w:color="auto"/>
                                <w:left w:val="none" w:sz="0" w:space="0" w:color="auto"/>
                                <w:bottom w:val="none" w:sz="0" w:space="0" w:color="auto"/>
                                <w:right w:val="none" w:sz="0" w:space="0" w:color="auto"/>
                              </w:divBdr>
                              <w:divsChild>
                                <w:div w:id="619339597">
                                  <w:marLeft w:val="420"/>
                                  <w:marRight w:val="0"/>
                                  <w:marTop w:val="0"/>
                                  <w:marBottom w:val="0"/>
                                  <w:divBdr>
                                    <w:top w:val="none" w:sz="0" w:space="0" w:color="auto"/>
                                    <w:left w:val="none" w:sz="0" w:space="0" w:color="auto"/>
                                    <w:bottom w:val="none" w:sz="0" w:space="0" w:color="auto"/>
                                    <w:right w:val="none" w:sz="0" w:space="0" w:color="auto"/>
                                  </w:divBdr>
                                  <w:divsChild>
                                    <w:div w:id="857040500">
                                      <w:marLeft w:val="0"/>
                                      <w:marRight w:val="0"/>
                                      <w:marTop w:val="0"/>
                                      <w:marBottom w:val="0"/>
                                      <w:divBdr>
                                        <w:top w:val="none" w:sz="0" w:space="0" w:color="auto"/>
                                        <w:left w:val="none" w:sz="0" w:space="0" w:color="auto"/>
                                        <w:bottom w:val="none" w:sz="0" w:space="0" w:color="auto"/>
                                        <w:right w:val="none" w:sz="0" w:space="0" w:color="auto"/>
                                      </w:divBdr>
                                      <w:divsChild>
                                        <w:div w:id="1215775263">
                                          <w:marLeft w:val="0"/>
                                          <w:marRight w:val="0"/>
                                          <w:marTop w:val="0"/>
                                          <w:marBottom w:val="0"/>
                                          <w:divBdr>
                                            <w:top w:val="none" w:sz="0" w:space="0" w:color="auto"/>
                                            <w:left w:val="none" w:sz="0" w:space="0" w:color="auto"/>
                                            <w:bottom w:val="none" w:sz="0" w:space="0" w:color="auto"/>
                                            <w:right w:val="none" w:sz="0" w:space="0" w:color="auto"/>
                                          </w:divBdr>
                                        </w:div>
                                      </w:divsChild>
                                    </w:div>
                                    <w:div w:id="1710648069">
                                      <w:marLeft w:val="0"/>
                                      <w:marRight w:val="0"/>
                                      <w:marTop w:val="34"/>
                                      <w:marBottom w:val="34"/>
                                      <w:divBdr>
                                        <w:top w:val="none" w:sz="0" w:space="0" w:color="auto"/>
                                        <w:left w:val="none" w:sz="0" w:space="0" w:color="auto"/>
                                        <w:bottom w:val="none" w:sz="0" w:space="0" w:color="auto"/>
                                        <w:right w:val="none" w:sz="0" w:space="0" w:color="auto"/>
                                      </w:divBdr>
                                    </w:div>
                                  </w:divsChild>
                                </w:div>
                                <w:div w:id="711269344">
                                  <w:marLeft w:val="0"/>
                                  <w:marRight w:val="0"/>
                                  <w:marTop w:val="0"/>
                                  <w:marBottom w:val="0"/>
                                  <w:divBdr>
                                    <w:top w:val="none" w:sz="0" w:space="0" w:color="auto"/>
                                    <w:left w:val="none" w:sz="0" w:space="0" w:color="auto"/>
                                    <w:bottom w:val="none" w:sz="0" w:space="0" w:color="auto"/>
                                    <w:right w:val="none" w:sz="0" w:space="0" w:color="auto"/>
                                  </w:divBdr>
                                </w:div>
                              </w:divsChild>
                            </w:div>
                            <w:div w:id="680085973">
                              <w:marLeft w:val="0"/>
                              <w:marRight w:val="0"/>
                              <w:marTop w:val="120"/>
                              <w:marBottom w:val="360"/>
                              <w:divBdr>
                                <w:top w:val="none" w:sz="0" w:space="0" w:color="auto"/>
                                <w:left w:val="none" w:sz="0" w:space="0" w:color="auto"/>
                                <w:bottom w:val="none" w:sz="0" w:space="0" w:color="auto"/>
                                <w:right w:val="none" w:sz="0" w:space="0" w:color="auto"/>
                              </w:divBdr>
                              <w:divsChild>
                                <w:div w:id="1179275408">
                                  <w:marLeft w:val="0"/>
                                  <w:marRight w:val="0"/>
                                  <w:marTop w:val="0"/>
                                  <w:marBottom w:val="0"/>
                                  <w:divBdr>
                                    <w:top w:val="none" w:sz="0" w:space="0" w:color="auto"/>
                                    <w:left w:val="none" w:sz="0" w:space="0" w:color="auto"/>
                                    <w:bottom w:val="none" w:sz="0" w:space="0" w:color="auto"/>
                                    <w:right w:val="none" w:sz="0" w:space="0" w:color="auto"/>
                                  </w:divBdr>
                                </w:div>
                                <w:div w:id="1281570787">
                                  <w:marLeft w:val="420"/>
                                  <w:marRight w:val="0"/>
                                  <w:marTop w:val="0"/>
                                  <w:marBottom w:val="0"/>
                                  <w:divBdr>
                                    <w:top w:val="none" w:sz="0" w:space="0" w:color="auto"/>
                                    <w:left w:val="none" w:sz="0" w:space="0" w:color="auto"/>
                                    <w:bottom w:val="none" w:sz="0" w:space="0" w:color="auto"/>
                                    <w:right w:val="none" w:sz="0" w:space="0" w:color="auto"/>
                                  </w:divBdr>
                                  <w:divsChild>
                                    <w:div w:id="869757135">
                                      <w:marLeft w:val="0"/>
                                      <w:marRight w:val="0"/>
                                      <w:marTop w:val="34"/>
                                      <w:marBottom w:val="34"/>
                                      <w:divBdr>
                                        <w:top w:val="none" w:sz="0" w:space="0" w:color="auto"/>
                                        <w:left w:val="none" w:sz="0" w:space="0" w:color="auto"/>
                                        <w:bottom w:val="none" w:sz="0" w:space="0" w:color="auto"/>
                                        <w:right w:val="none" w:sz="0" w:space="0" w:color="auto"/>
                                      </w:divBdr>
                                    </w:div>
                                    <w:div w:id="1371491175">
                                      <w:marLeft w:val="0"/>
                                      <w:marRight w:val="0"/>
                                      <w:marTop w:val="0"/>
                                      <w:marBottom w:val="0"/>
                                      <w:divBdr>
                                        <w:top w:val="none" w:sz="0" w:space="0" w:color="auto"/>
                                        <w:left w:val="none" w:sz="0" w:space="0" w:color="auto"/>
                                        <w:bottom w:val="none" w:sz="0" w:space="0" w:color="auto"/>
                                        <w:right w:val="none" w:sz="0" w:space="0" w:color="auto"/>
                                      </w:divBdr>
                                      <w:divsChild>
                                        <w:div w:id="1848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0848">
                              <w:marLeft w:val="0"/>
                              <w:marRight w:val="0"/>
                              <w:marTop w:val="120"/>
                              <w:marBottom w:val="360"/>
                              <w:divBdr>
                                <w:top w:val="none" w:sz="0" w:space="0" w:color="auto"/>
                                <w:left w:val="none" w:sz="0" w:space="0" w:color="auto"/>
                                <w:bottom w:val="none" w:sz="0" w:space="0" w:color="auto"/>
                                <w:right w:val="none" w:sz="0" w:space="0" w:color="auto"/>
                              </w:divBdr>
                              <w:divsChild>
                                <w:div w:id="1884321852">
                                  <w:marLeft w:val="420"/>
                                  <w:marRight w:val="0"/>
                                  <w:marTop w:val="0"/>
                                  <w:marBottom w:val="0"/>
                                  <w:divBdr>
                                    <w:top w:val="none" w:sz="0" w:space="0" w:color="auto"/>
                                    <w:left w:val="none" w:sz="0" w:space="0" w:color="auto"/>
                                    <w:bottom w:val="none" w:sz="0" w:space="0" w:color="auto"/>
                                    <w:right w:val="none" w:sz="0" w:space="0" w:color="auto"/>
                                  </w:divBdr>
                                  <w:divsChild>
                                    <w:div w:id="377314430">
                                      <w:marLeft w:val="0"/>
                                      <w:marRight w:val="0"/>
                                      <w:marTop w:val="0"/>
                                      <w:marBottom w:val="0"/>
                                      <w:divBdr>
                                        <w:top w:val="none" w:sz="0" w:space="0" w:color="auto"/>
                                        <w:left w:val="none" w:sz="0" w:space="0" w:color="auto"/>
                                        <w:bottom w:val="none" w:sz="0" w:space="0" w:color="auto"/>
                                        <w:right w:val="none" w:sz="0" w:space="0" w:color="auto"/>
                                      </w:divBdr>
                                      <w:divsChild>
                                        <w:div w:id="2113626633">
                                          <w:marLeft w:val="0"/>
                                          <w:marRight w:val="0"/>
                                          <w:marTop w:val="0"/>
                                          <w:marBottom w:val="0"/>
                                          <w:divBdr>
                                            <w:top w:val="none" w:sz="0" w:space="0" w:color="auto"/>
                                            <w:left w:val="none" w:sz="0" w:space="0" w:color="auto"/>
                                            <w:bottom w:val="none" w:sz="0" w:space="0" w:color="auto"/>
                                            <w:right w:val="none" w:sz="0" w:space="0" w:color="auto"/>
                                          </w:divBdr>
                                        </w:div>
                                      </w:divsChild>
                                    </w:div>
                                    <w:div w:id="50898345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145700865">
                              <w:marLeft w:val="0"/>
                              <w:marRight w:val="0"/>
                              <w:marTop w:val="120"/>
                              <w:marBottom w:val="360"/>
                              <w:divBdr>
                                <w:top w:val="none" w:sz="0" w:space="0" w:color="auto"/>
                                <w:left w:val="none" w:sz="0" w:space="0" w:color="auto"/>
                                <w:bottom w:val="none" w:sz="0" w:space="0" w:color="auto"/>
                                <w:right w:val="none" w:sz="0" w:space="0" w:color="auto"/>
                              </w:divBdr>
                              <w:divsChild>
                                <w:div w:id="11882516">
                                  <w:marLeft w:val="0"/>
                                  <w:marRight w:val="0"/>
                                  <w:marTop w:val="0"/>
                                  <w:marBottom w:val="0"/>
                                  <w:divBdr>
                                    <w:top w:val="none" w:sz="0" w:space="0" w:color="auto"/>
                                    <w:left w:val="none" w:sz="0" w:space="0" w:color="auto"/>
                                    <w:bottom w:val="none" w:sz="0" w:space="0" w:color="auto"/>
                                    <w:right w:val="none" w:sz="0" w:space="0" w:color="auto"/>
                                  </w:divBdr>
                                </w:div>
                                <w:div w:id="2136481265">
                                  <w:marLeft w:val="420"/>
                                  <w:marRight w:val="0"/>
                                  <w:marTop w:val="0"/>
                                  <w:marBottom w:val="0"/>
                                  <w:divBdr>
                                    <w:top w:val="none" w:sz="0" w:space="0" w:color="auto"/>
                                    <w:left w:val="none" w:sz="0" w:space="0" w:color="auto"/>
                                    <w:bottom w:val="none" w:sz="0" w:space="0" w:color="auto"/>
                                    <w:right w:val="none" w:sz="0" w:space="0" w:color="auto"/>
                                  </w:divBdr>
                                  <w:divsChild>
                                    <w:div w:id="635530178">
                                      <w:marLeft w:val="0"/>
                                      <w:marRight w:val="0"/>
                                      <w:marTop w:val="34"/>
                                      <w:marBottom w:val="34"/>
                                      <w:divBdr>
                                        <w:top w:val="none" w:sz="0" w:space="0" w:color="auto"/>
                                        <w:left w:val="none" w:sz="0" w:space="0" w:color="auto"/>
                                        <w:bottom w:val="none" w:sz="0" w:space="0" w:color="auto"/>
                                        <w:right w:val="none" w:sz="0" w:space="0" w:color="auto"/>
                                      </w:divBdr>
                                    </w:div>
                                    <w:div w:id="1281107447">
                                      <w:marLeft w:val="0"/>
                                      <w:marRight w:val="0"/>
                                      <w:marTop w:val="0"/>
                                      <w:marBottom w:val="0"/>
                                      <w:divBdr>
                                        <w:top w:val="none" w:sz="0" w:space="0" w:color="auto"/>
                                        <w:left w:val="none" w:sz="0" w:space="0" w:color="auto"/>
                                        <w:bottom w:val="none" w:sz="0" w:space="0" w:color="auto"/>
                                        <w:right w:val="none" w:sz="0" w:space="0" w:color="auto"/>
                                      </w:divBdr>
                                      <w:divsChild>
                                        <w:div w:id="3486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5088">
                              <w:marLeft w:val="0"/>
                              <w:marRight w:val="0"/>
                              <w:marTop w:val="120"/>
                              <w:marBottom w:val="360"/>
                              <w:divBdr>
                                <w:top w:val="none" w:sz="0" w:space="0" w:color="auto"/>
                                <w:left w:val="none" w:sz="0" w:space="0" w:color="auto"/>
                                <w:bottom w:val="none" w:sz="0" w:space="0" w:color="auto"/>
                                <w:right w:val="none" w:sz="0" w:space="0" w:color="auto"/>
                              </w:divBdr>
                              <w:divsChild>
                                <w:div w:id="272328429">
                                  <w:marLeft w:val="420"/>
                                  <w:marRight w:val="0"/>
                                  <w:marTop w:val="0"/>
                                  <w:marBottom w:val="0"/>
                                  <w:divBdr>
                                    <w:top w:val="none" w:sz="0" w:space="0" w:color="auto"/>
                                    <w:left w:val="none" w:sz="0" w:space="0" w:color="auto"/>
                                    <w:bottom w:val="none" w:sz="0" w:space="0" w:color="auto"/>
                                    <w:right w:val="none" w:sz="0" w:space="0" w:color="auto"/>
                                  </w:divBdr>
                                  <w:divsChild>
                                    <w:div w:id="1103889332">
                                      <w:marLeft w:val="0"/>
                                      <w:marRight w:val="0"/>
                                      <w:marTop w:val="0"/>
                                      <w:marBottom w:val="0"/>
                                      <w:divBdr>
                                        <w:top w:val="none" w:sz="0" w:space="0" w:color="auto"/>
                                        <w:left w:val="none" w:sz="0" w:space="0" w:color="auto"/>
                                        <w:bottom w:val="none" w:sz="0" w:space="0" w:color="auto"/>
                                        <w:right w:val="none" w:sz="0" w:space="0" w:color="auto"/>
                                      </w:divBdr>
                                      <w:divsChild>
                                        <w:div w:id="1305358414">
                                          <w:marLeft w:val="0"/>
                                          <w:marRight w:val="0"/>
                                          <w:marTop w:val="0"/>
                                          <w:marBottom w:val="0"/>
                                          <w:divBdr>
                                            <w:top w:val="none" w:sz="0" w:space="0" w:color="auto"/>
                                            <w:left w:val="none" w:sz="0" w:space="0" w:color="auto"/>
                                            <w:bottom w:val="none" w:sz="0" w:space="0" w:color="auto"/>
                                            <w:right w:val="none" w:sz="0" w:space="0" w:color="auto"/>
                                          </w:divBdr>
                                        </w:div>
                                      </w:divsChild>
                                    </w:div>
                                    <w:div w:id="1751461206">
                                      <w:marLeft w:val="0"/>
                                      <w:marRight w:val="0"/>
                                      <w:marTop w:val="34"/>
                                      <w:marBottom w:val="34"/>
                                      <w:divBdr>
                                        <w:top w:val="none" w:sz="0" w:space="0" w:color="auto"/>
                                        <w:left w:val="none" w:sz="0" w:space="0" w:color="auto"/>
                                        <w:bottom w:val="none" w:sz="0" w:space="0" w:color="auto"/>
                                        <w:right w:val="none" w:sz="0" w:space="0" w:color="auto"/>
                                      </w:divBdr>
                                    </w:div>
                                  </w:divsChild>
                                </w:div>
                                <w:div w:id="421803691">
                                  <w:marLeft w:val="0"/>
                                  <w:marRight w:val="0"/>
                                  <w:marTop w:val="0"/>
                                  <w:marBottom w:val="0"/>
                                  <w:divBdr>
                                    <w:top w:val="none" w:sz="0" w:space="0" w:color="auto"/>
                                    <w:left w:val="none" w:sz="0" w:space="0" w:color="auto"/>
                                    <w:bottom w:val="none" w:sz="0" w:space="0" w:color="auto"/>
                                    <w:right w:val="none" w:sz="0" w:space="0" w:color="auto"/>
                                  </w:divBdr>
                                </w:div>
                              </w:divsChild>
                            </w:div>
                            <w:div w:id="1166939124">
                              <w:marLeft w:val="0"/>
                              <w:marRight w:val="0"/>
                              <w:marTop w:val="120"/>
                              <w:marBottom w:val="360"/>
                              <w:divBdr>
                                <w:top w:val="none" w:sz="0" w:space="0" w:color="auto"/>
                                <w:left w:val="none" w:sz="0" w:space="0" w:color="auto"/>
                                <w:bottom w:val="none" w:sz="0" w:space="0" w:color="auto"/>
                                <w:right w:val="none" w:sz="0" w:space="0" w:color="auto"/>
                              </w:divBdr>
                              <w:divsChild>
                                <w:div w:id="479157046">
                                  <w:marLeft w:val="0"/>
                                  <w:marRight w:val="0"/>
                                  <w:marTop w:val="0"/>
                                  <w:marBottom w:val="0"/>
                                  <w:divBdr>
                                    <w:top w:val="none" w:sz="0" w:space="0" w:color="auto"/>
                                    <w:left w:val="none" w:sz="0" w:space="0" w:color="auto"/>
                                    <w:bottom w:val="none" w:sz="0" w:space="0" w:color="auto"/>
                                    <w:right w:val="none" w:sz="0" w:space="0" w:color="auto"/>
                                  </w:divBdr>
                                </w:div>
                                <w:div w:id="961569377">
                                  <w:marLeft w:val="420"/>
                                  <w:marRight w:val="0"/>
                                  <w:marTop w:val="0"/>
                                  <w:marBottom w:val="0"/>
                                  <w:divBdr>
                                    <w:top w:val="none" w:sz="0" w:space="0" w:color="auto"/>
                                    <w:left w:val="none" w:sz="0" w:space="0" w:color="auto"/>
                                    <w:bottom w:val="none" w:sz="0" w:space="0" w:color="auto"/>
                                    <w:right w:val="none" w:sz="0" w:space="0" w:color="auto"/>
                                  </w:divBdr>
                                  <w:divsChild>
                                    <w:div w:id="362022527">
                                      <w:marLeft w:val="0"/>
                                      <w:marRight w:val="0"/>
                                      <w:marTop w:val="0"/>
                                      <w:marBottom w:val="0"/>
                                      <w:divBdr>
                                        <w:top w:val="none" w:sz="0" w:space="0" w:color="auto"/>
                                        <w:left w:val="none" w:sz="0" w:space="0" w:color="auto"/>
                                        <w:bottom w:val="none" w:sz="0" w:space="0" w:color="auto"/>
                                        <w:right w:val="none" w:sz="0" w:space="0" w:color="auto"/>
                                      </w:divBdr>
                                      <w:divsChild>
                                        <w:div w:id="1937060274">
                                          <w:marLeft w:val="0"/>
                                          <w:marRight w:val="0"/>
                                          <w:marTop w:val="0"/>
                                          <w:marBottom w:val="0"/>
                                          <w:divBdr>
                                            <w:top w:val="none" w:sz="0" w:space="0" w:color="auto"/>
                                            <w:left w:val="none" w:sz="0" w:space="0" w:color="auto"/>
                                            <w:bottom w:val="none" w:sz="0" w:space="0" w:color="auto"/>
                                            <w:right w:val="none" w:sz="0" w:space="0" w:color="auto"/>
                                          </w:divBdr>
                                        </w:div>
                                      </w:divsChild>
                                    </w:div>
                                    <w:div w:id="12881969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05072231">
                              <w:marLeft w:val="0"/>
                              <w:marRight w:val="0"/>
                              <w:marTop w:val="120"/>
                              <w:marBottom w:val="360"/>
                              <w:divBdr>
                                <w:top w:val="none" w:sz="0" w:space="0" w:color="auto"/>
                                <w:left w:val="none" w:sz="0" w:space="0" w:color="auto"/>
                                <w:bottom w:val="none" w:sz="0" w:space="0" w:color="auto"/>
                                <w:right w:val="none" w:sz="0" w:space="0" w:color="auto"/>
                              </w:divBdr>
                              <w:divsChild>
                                <w:div w:id="228076171">
                                  <w:marLeft w:val="0"/>
                                  <w:marRight w:val="0"/>
                                  <w:marTop w:val="0"/>
                                  <w:marBottom w:val="0"/>
                                  <w:divBdr>
                                    <w:top w:val="none" w:sz="0" w:space="0" w:color="auto"/>
                                    <w:left w:val="none" w:sz="0" w:space="0" w:color="auto"/>
                                    <w:bottom w:val="none" w:sz="0" w:space="0" w:color="auto"/>
                                    <w:right w:val="none" w:sz="0" w:space="0" w:color="auto"/>
                                  </w:divBdr>
                                </w:div>
                                <w:div w:id="346174924">
                                  <w:marLeft w:val="420"/>
                                  <w:marRight w:val="0"/>
                                  <w:marTop w:val="0"/>
                                  <w:marBottom w:val="0"/>
                                  <w:divBdr>
                                    <w:top w:val="none" w:sz="0" w:space="0" w:color="auto"/>
                                    <w:left w:val="none" w:sz="0" w:space="0" w:color="auto"/>
                                    <w:bottom w:val="none" w:sz="0" w:space="0" w:color="auto"/>
                                    <w:right w:val="none" w:sz="0" w:space="0" w:color="auto"/>
                                  </w:divBdr>
                                  <w:divsChild>
                                    <w:div w:id="707461289">
                                      <w:marLeft w:val="0"/>
                                      <w:marRight w:val="0"/>
                                      <w:marTop w:val="34"/>
                                      <w:marBottom w:val="34"/>
                                      <w:divBdr>
                                        <w:top w:val="none" w:sz="0" w:space="0" w:color="auto"/>
                                        <w:left w:val="none" w:sz="0" w:space="0" w:color="auto"/>
                                        <w:bottom w:val="none" w:sz="0" w:space="0" w:color="auto"/>
                                        <w:right w:val="none" w:sz="0" w:space="0" w:color="auto"/>
                                      </w:divBdr>
                                    </w:div>
                                    <w:div w:id="1614825104">
                                      <w:marLeft w:val="0"/>
                                      <w:marRight w:val="0"/>
                                      <w:marTop w:val="0"/>
                                      <w:marBottom w:val="0"/>
                                      <w:divBdr>
                                        <w:top w:val="none" w:sz="0" w:space="0" w:color="auto"/>
                                        <w:left w:val="none" w:sz="0" w:space="0" w:color="auto"/>
                                        <w:bottom w:val="none" w:sz="0" w:space="0" w:color="auto"/>
                                        <w:right w:val="none" w:sz="0" w:space="0" w:color="auto"/>
                                      </w:divBdr>
                                      <w:divsChild>
                                        <w:div w:id="14629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13497">
                              <w:marLeft w:val="0"/>
                              <w:marRight w:val="0"/>
                              <w:marTop w:val="120"/>
                              <w:marBottom w:val="360"/>
                              <w:divBdr>
                                <w:top w:val="none" w:sz="0" w:space="0" w:color="auto"/>
                                <w:left w:val="none" w:sz="0" w:space="0" w:color="auto"/>
                                <w:bottom w:val="none" w:sz="0" w:space="0" w:color="auto"/>
                                <w:right w:val="none" w:sz="0" w:space="0" w:color="auto"/>
                              </w:divBdr>
                              <w:divsChild>
                                <w:div w:id="339309952">
                                  <w:marLeft w:val="0"/>
                                  <w:marRight w:val="0"/>
                                  <w:marTop w:val="0"/>
                                  <w:marBottom w:val="0"/>
                                  <w:divBdr>
                                    <w:top w:val="none" w:sz="0" w:space="0" w:color="auto"/>
                                    <w:left w:val="none" w:sz="0" w:space="0" w:color="auto"/>
                                    <w:bottom w:val="none" w:sz="0" w:space="0" w:color="auto"/>
                                    <w:right w:val="none" w:sz="0" w:space="0" w:color="auto"/>
                                  </w:divBdr>
                                </w:div>
                                <w:div w:id="2067946755">
                                  <w:marLeft w:val="420"/>
                                  <w:marRight w:val="0"/>
                                  <w:marTop w:val="0"/>
                                  <w:marBottom w:val="0"/>
                                  <w:divBdr>
                                    <w:top w:val="none" w:sz="0" w:space="0" w:color="auto"/>
                                    <w:left w:val="none" w:sz="0" w:space="0" w:color="auto"/>
                                    <w:bottom w:val="none" w:sz="0" w:space="0" w:color="auto"/>
                                    <w:right w:val="none" w:sz="0" w:space="0" w:color="auto"/>
                                  </w:divBdr>
                                  <w:divsChild>
                                    <w:div w:id="15084030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873809311">
                              <w:marLeft w:val="0"/>
                              <w:marRight w:val="0"/>
                              <w:marTop w:val="120"/>
                              <w:marBottom w:val="360"/>
                              <w:divBdr>
                                <w:top w:val="none" w:sz="0" w:space="0" w:color="auto"/>
                                <w:left w:val="none" w:sz="0" w:space="0" w:color="auto"/>
                                <w:bottom w:val="none" w:sz="0" w:space="0" w:color="auto"/>
                                <w:right w:val="none" w:sz="0" w:space="0" w:color="auto"/>
                              </w:divBdr>
                              <w:divsChild>
                                <w:div w:id="170923212">
                                  <w:marLeft w:val="0"/>
                                  <w:marRight w:val="0"/>
                                  <w:marTop w:val="0"/>
                                  <w:marBottom w:val="0"/>
                                  <w:divBdr>
                                    <w:top w:val="none" w:sz="0" w:space="0" w:color="auto"/>
                                    <w:left w:val="none" w:sz="0" w:space="0" w:color="auto"/>
                                    <w:bottom w:val="none" w:sz="0" w:space="0" w:color="auto"/>
                                    <w:right w:val="none" w:sz="0" w:space="0" w:color="auto"/>
                                  </w:divBdr>
                                </w:div>
                                <w:div w:id="818107921">
                                  <w:marLeft w:val="420"/>
                                  <w:marRight w:val="0"/>
                                  <w:marTop w:val="0"/>
                                  <w:marBottom w:val="0"/>
                                  <w:divBdr>
                                    <w:top w:val="none" w:sz="0" w:space="0" w:color="auto"/>
                                    <w:left w:val="none" w:sz="0" w:space="0" w:color="auto"/>
                                    <w:bottom w:val="none" w:sz="0" w:space="0" w:color="auto"/>
                                    <w:right w:val="none" w:sz="0" w:space="0" w:color="auto"/>
                                  </w:divBdr>
                                  <w:divsChild>
                                    <w:div w:id="618074254">
                                      <w:marLeft w:val="0"/>
                                      <w:marRight w:val="0"/>
                                      <w:marTop w:val="0"/>
                                      <w:marBottom w:val="0"/>
                                      <w:divBdr>
                                        <w:top w:val="none" w:sz="0" w:space="0" w:color="auto"/>
                                        <w:left w:val="none" w:sz="0" w:space="0" w:color="auto"/>
                                        <w:bottom w:val="none" w:sz="0" w:space="0" w:color="auto"/>
                                        <w:right w:val="none" w:sz="0" w:space="0" w:color="auto"/>
                                      </w:divBdr>
                                      <w:divsChild>
                                        <w:div w:id="426579593">
                                          <w:marLeft w:val="0"/>
                                          <w:marRight w:val="0"/>
                                          <w:marTop w:val="0"/>
                                          <w:marBottom w:val="0"/>
                                          <w:divBdr>
                                            <w:top w:val="none" w:sz="0" w:space="0" w:color="auto"/>
                                            <w:left w:val="none" w:sz="0" w:space="0" w:color="auto"/>
                                            <w:bottom w:val="none" w:sz="0" w:space="0" w:color="auto"/>
                                            <w:right w:val="none" w:sz="0" w:space="0" w:color="auto"/>
                                          </w:divBdr>
                                        </w:div>
                                      </w:divsChild>
                                    </w:div>
                                    <w:div w:id="16675116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16209566">
                              <w:marLeft w:val="0"/>
                              <w:marRight w:val="0"/>
                              <w:marTop w:val="120"/>
                              <w:marBottom w:val="360"/>
                              <w:divBdr>
                                <w:top w:val="none" w:sz="0" w:space="0" w:color="auto"/>
                                <w:left w:val="none" w:sz="0" w:space="0" w:color="auto"/>
                                <w:bottom w:val="none" w:sz="0" w:space="0" w:color="auto"/>
                                <w:right w:val="none" w:sz="0" w:space="0" w:color="auto"/>
                              </w:divBdr>
                              <w:divsChild>
                                <w:div w:id="644045143">
                                  <w:marLeft w:val="420"/>
                                  <w:marRight w:val="0"/>
                                  <w:marTop w:val="0"/>
                                  <w:marBottom w:val="0"/>
                                  <w:divBdr>
                                    <w:top w:val="none" w:sz="0" w:space="0" w:color="auto"/>
                                    <w:left w:val="none" w:sz="0" w:space="0" w:color="auto"/>
                                    <w:bottom w:val="none" w:sz="0" w:space="0" w:color="auto"/>
                                    <w:right w:val="none" w:sz="0" w:space="0" w:color="auto"/>
                                  </w:divBdr>
                                  <w:divsChild>
                                    <w:div w:id="1908228885">
                                      <w:marLeft w:val="0"/>
                                      <w:marRight w:val="0"/>
                                      <w:marTop w:val="0"/>
                                      <w:marBottom w:val="0"/>
                                      <w:divBdr>
                                        <w:top w:val="none" w:sz="0" w:space="0" w:color="auto"/>
                                        <w:left w:val="none" w:sz="0" w:space="0" w:color="auto"/>
                                        <w:bottom w:val="none" w:sz="0" w:space="0" w:color="auto"/>
                                        <w:right w:val="none" w:sz="0" w:space="0" w:color="auto"/>
                                      </w:divBdr>
                                      <w:divsChild>
                                        <w:div w:id="626008977">
                                          <w:marLeft w:val="0"/>
                                          <w:marRight w:val="0"/>
                                          <w:marTop w:val="0"/>
                                          <w:marBottom w:val="0"/>
                                          <w:divBdr>
                                            <w:top w:val="none" w:sz="0" w:space="0" w:color="auto"/>
                                            <w:left w:val="none" w:sz="0" w:space="0" w:color="auto"/>
                                            <w:bottom w:val="none" w:sz="0" w:space="0" w:color="auto"/>
                                            <w:right w:val="none" w:sz="0" w:space="0" w:color="auto"/>
                                          </w:divBdr>
                                        </w:div>
                                      </w:divsChild>
                                    </w:div>
                                    <w:div w:id="2124642637">
                                      <w:marLeft w:val="0"/>
                                      <w:marRight w:val="0"/>
                                      <w:marTop w:val="34"/>
                                      <w:marBottom w:val="34"/>
                                      <w:divBdr>
                                        <w:top w:val="none" w:sz="0" w:space="0" w:color="auto"/>
                                        <w:left w:val="none" w:sz="0" w:space="0" w:color="auto"/>
                                        <w:bottom w:val="none" w:sz="0" w:space="0" w:color="auto"/>
                                        <w:right w:val="none" w:sz="0" w:space="0" w:color="auto"/>
                                      </w:divBdr>
                                    </w:div>
                                  </w:divsChild>
                                </w:div>
                                <w:div w:id="1043944020">
                                  <w:marLeft w:val="0"/>
                                  <w:marRight w:val="0"/>
                                  <w:marTop w:val="0"/>
                                  <w:marBottom w:val="0"/>
                                  <w:divBdr>
                                    <w:top w:val="none" w:sz="0" w:space="0" w:color="auto"/>
                                    <w:left w:val="none" w:sz="0" w:space="0" w:color="auto"/>
                                    <w:bottom w:val="none" w:sz="0" w:space="0" w:color="auto"/>
                                    <w:right w:val="none" w:sz="0" w:space="0" w:color="auto"/>
                                  </w:divBdr>
                                </w:div>
                              </w:divsChild>
                            </w:div>
                            <w:div w:id="1971666632">
                              <w:marLeft w:val="0"/>
                              <w:marRight w:val="0"/>
                              <w:marTop w:val="120"/>
                              <w:marBottom w:val="360"/>
                              <w:divBdr>
                                <w:top w:val="none" w:sz="0" w:space="0" w:color="auto"/>
                                <w:left w:val="none" w:sz="0" w:space="0" w:color="auto"/>
                                <w:bottom w:val="none" w:sz="0" w:space="0" w:color="auto"/>
                                <w:right w:val="none" w:sz="0" w:space="0" w:color="auto"/>
                              </w:divBdr>
                              <w:divsChild>
                                <w:div w:id="198713796">
                                  <w:marLeft w:val="0"/>
                                  <w:marRight w:val="0"/>
                                  <w:marTop w:val="0"/>
                                  <w:marBottom w:val="0"/>
                                  <w:divBdr>
                                    <w:top w:val="none" w:sz="0" w:space="0" w:color="auto"/>
                                    <w:left w:val="none" w:sz="0" w:space="0" w:color="auto"/>
                                    <w:bottom w:val="none" w:sz="0" w:space="0" w:color="auto"/>
                                    <w:right w:val="none" w:sz="0" w:space="0" w:color="auto"/>
                                  </w:divBdr>
                                </w:div>
                                <w:div w:id="1117531532">
                                  <w:marLeft w:val="420"/>
                                  <w:marRight w:val="0"/>
                                  <w:marTop w:val="0"/>
                                  <w:marBottom w:val="0"/>
                                  <w:divBdr>
                                    <w:top w:val="none" w:sz="0" w:space="0" w:color="auto"/>
                                    <w:left w:val="none" w:sz="0" w:space="0" w:color="auto"/>
                                    <w:bottom w:val="none" w:sz="0" w:space="0" w:color="auto"/>
                                    <w:right w:val="none" w:sz="0" w:space="0" w:color="auto"/>
                                  </w:divBdr>
                                  <w:divsChild>
                                    <w:div w:id="178542239">
                                      <w:marLeft w:val="0"/>
                                      <w:marRight w:val="0"/>
                                      <w:marTop w:val="0"/>
                                      <w:marBottom w:val="0"/>
                                      <w:divBdr>
                                        <w:top w:val="none" w:sz="0" w:space="0" w:color="auto"/>
                                        <w:left w:val="none" w:sz="0" w:space="0" w:color="auto"/>
                                        <w:bottom w:val="none" w:sz="0" w:space="0" w:color="auto"/>
                                        <w:right w:val="none" w:sz="0" w:space="0" w:color="auto"/>
                                      </w:divBdr>
                                      <w:divsChild>
                                        <w:div w:id="624195082">
                                          <w:marLeft w:val="0"/>
                                          <w:marRight w:val="0"/>
                                          <w:marTop w:val="0"/>
                                          <w:marBottom w:val="0"/>
                                          <w:divBdr>
                                            <w:top w:val="none" w:sz="0" w:space="0" w:color="auto"/>
                                            <w:left w:val="none" w:sz="0" w:space="0" w:color="auto"/>
                                            <w:bottom w:val="none" w:sz="0" w:space="0" w:color="auto"/>
                                            <w:right w:val="none" w:sz="0" w:space="0" w:color="auto"/>
                                          </w:divBdr>
                                        </w:div>
                                      </w:divsChild>
                                    </w:div>
                                    <w:div w:id="20916115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2002149902">
                              <w:marLeft w:val="0"/>
                              <w:marRight w:val="0"/>
                              <w:marTop w:val="120"/>
                              <w:marBottom w:val="360"/>
                              <w:divBdr>
                                <w:top w:val="none" w:sz="0" w:space="0" w:color="auto"/>
                                <w:left w:val="none" w:sz="0" w:space="0" w:color="auto"/>
                                <w:bottom w:val="none" w:sz="0" w:space="0" w:color="auto"/>
                                <w:right w:val="none" w:sz="0" w:space="0" w:color="auto"/>
                              </w:divBdr>
                              <w:divsChild>
                                <w:div w:id="16396414">
                                  <w:marLeft w:val="420"/>
                                  <w:marRight w:val="0"/>
                                  <w:marTop w:val="0"/>
                                  <w:marBottom w:val="0"/>
                                  <w:divBdr>
                                    <w:top w:val="none" w:sz="0" w:space="0" w:color="auto"/>
                                    <w:left w:val="none" w:sz="0" w:space="0" w:color="auto"/>
                                    <w:bottom w:val="none" w:sz="0" w:space="0" w:color="auto"/>
                                    <w:right w:val="none" w:sz="0" w:space="0" w:color="auto"/>
                                  </w:divBdr>
                                  <w:divsChild>
                                    <w:div w:id="1309359382">
                                      <w:marLeft w:val="0"/>
                                      <w:marRight w:val="0"/>
                                      <w:marTop w:val="0"/>
                                      <w:marBottom w:val="0"/>
                                      <w:divBdr>
                                        <w:top w:val="none" w:sz="0" w:space="0" w:color="auto"/>
                                        <w:left w:val="none" w:sz="0" w:space="0" w:color="auto"/>
                                        <w:bottom w:val="none" w:sz="0" w:space="0" w:color="auto"/>
                                        <w:right w:val="none" w:sz="0" w:space="0" w:color="auto"/>
                                      </w:divBdr>
                                      <w:divsChild>
                                        <w:div w:id="1296445028">
                                          <w:marLeft w:val="0"/>
                                          <w:marRight w:val="0"/>
                                          <w:marTop w:val="0"/>
                                          <w:marBottom w:val="0"/>
                                          <w:divBdr>
                                            <w:top w:val="none" w:sz="0" w:space="0" w:color="auto"/>
                                            <w:left w:val="none" w:sz="0" w:space="0" w:color="auto"/>
                                            <w:bottom w:val="none" w:sz="0" w:space="0" w:color="auto"/>
                                            <w:right w:val="none" w:sz="0" w:space="0" w:color="auto"/>
                                          </w:divBdr>
                                        </w:div>
                                      </w:divsChild>
                                    </w:div>
                                    <w:div w:id="1760717883">
                                      <w:marLeft w:val="0"/>
                                      <w:marRight w:val="0"/>
                                      <w:marTop w:val="34"/>
                                      <w:marBottom w:val="34"/>
                                      <w:divBdr>
                                        <w:top w:val="none" w:sz="0" w:space="0" w:color="auto"/>
                                        <w:left w:val="none" w:sz="0" w:space="0" w:color="auto"/>
                                        <w:bottom w:val="none" w:sz="0" w:space="0" w:color="auto"/>
                                        <w:right w:val="none" w:sz="0" w:space="0" w:color="auto"/>
                                      </w:divBdr>
                                    </w:div>
                                  </w:divsChild>
                                </w:div>
                                <w:div w:id="1122653252">
                                  <w:marLeft w:val="0"/>
                                  <w:marRight w:val="0"/>
                                  <w:marTop w:val="0"/>
                                  <w:marBottom w:val="0"/>
                                  <w:divBdr>
                                    <w:top w:val="none" w:sz="0" w:space="0" w:color="auto"/>
                                    <w:left w:val="none" w:sz="0" w:space="0" w:color="auto"/>
                                    <w:bottom w:val="none" w:sz="0" w:space="0" w:color="auto"/>
                                    <w:right w:val="none" w:sz="0" w:space="0" w:color="auto"/>
                                  </w:divBdr>
                                </w:div>
                              </w:divsChild>
                            </w:div>
                            <w:div w:id="2060741154">
                              <w:marLeft w:val="0"/>
                              <w:marRight w:val="0"/>
                              <w:marTop w:val="120"/>
                              <w:marBottom w:val="360"/>
                              <w:divBdr>
                                <w:top w:val="none" w:sz="0" w:space="0" w:color="auto"/>
                                <w:left w:val="none" w:sz="0" w:space="0" w:color="auto"/>
                                <w:bottom w:val="none" w:sz="0" w:space="0" w:color="auto"/>
                                <w:right w:val="none" w:sz="0" w:space="0" w:color="auto"/>
                              </w:divBdr>
                              <w:divsChild>
                                <w:div w:id="30502833">
                                  <w:marLeft w:val="420"/>
                                  <w:marRight w:val="0"/>
                                  <w:marTop w:val="0"/>
                                  <w:marBottom w:val="0"/>
                                  <w:divBdr>
                                    <w:top w:val="none" w:sz="0" w:space="0" w:color="auto"/>
                                    <w:left w:val="none" w:sz="0" w:space="0" w:color="auto"/>
                                    <w:bottom w:val="none" w:sz="0" w:space="0" w:color="auto"/>
                                    <w:right w:val="none" w:sz="0" w:space="0" w:color="auto"/>
                                  </w:divBdr>
                                  <w:divsChild>
                                    <w:div w:id="47383989">
                                      <w:marLeft w:val="0"/>
                                      <w:marRight w:val="0"/>
                                      <w:marTop w:val="34"/>
                                      <w:marBottom w:val="34"/>
                                      <w:divBdr>
                                        <w:top w:val="none" w:sz="0" w:space="0" w:color="auto"/>
                                        <w:left w:val="none" w:sz="0" w:space="0" w:color="auto"/>
                                        <w:bottom w:val="none" w:sz="0" w:space="0" w:color="auto"/>
                                        <w:right w:val="none" w:sz="0" w:space="0" w:color="auto"/>
                                      </w:divBdr>
                                    </w:div>
                                    <w:div w:id="1796364020">
                                      <w:marLeft w:val="0"/>
                                      <w:marRight w:val="0"/>
                                      <w:marTop w:val="0"/>
                                      <w:marBottom w:val="0"/>
                                      <w:divBdr>
                                        <w:top w:val="none" w:sz="0" w:space="0" w:color="auto"/>
                                        <w:left w:val="none" w:sz="0" w:space="0" w:color="auto"/>
                                        <w:bottom w:val="none" w:sz="0" w:space="0" w:color="auto"/>
                                        <w:right w:val="none" w:sz="0" w:space="0" w:color="auto"/>
                                      </w:divBdr>
                                      <w:divsChild>
                                        <w:div w:id="18037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574964">
      <w:bodyDiv w:val="1"/>
      <w:marLeft w:val="0"/>
      <w:marRight w:val="0"/>
      <w:marTop w:val="0"/>
      <w:marBottom w:val="0"/>
      <w:divBdr>
        <w:top w:val="none" w:sz="0" w:space="0" w:color="auto"/>
        <w:left w:val="none" w:sz="0" w:space="0" w:color="auto"/>
        <w:bottom w:val="none" w:sz="0" w:space="0" w:color="auto"/>
        <w:right w:val="none" w:sz="0" w:space="0" w:color="auto"/>
      </w:divBdr>
      <w:divsChild>
        <w:div w:id="959264898">
          <w:marLeft w:val="0"/>
          <w:marRight w:val="0"/>
          <w:marTop w:val="0"/>
          <w:marBottom w:val="0"/>
          <w:divBdr>
            <w:top w:val="none" w:sz="0" w:space="0" w:color="auto"/>
            <w:left w:val="none" w:sz="0" w:space="0" w:color="auto"/>
            <w:bottom w:val="none" w:sz="0" w:space="0" w:color="auto"/>
            <w:right w:val="none" w:sz="0" w:space="0" w:color="auto"/>
          </w:divBdr>
          <w:divsChild>
            <w:div w:id="633602436">
              <w:marLeft w:val="0"/>
              <w:marRight w:val="0"/>
              <w:marTop w:val="0"/>
              <w:marBottom w:val="0"/>
              <w:divBdr>
                <w:top w:val="none" w:sz="0" w:space="0" w:color="auto"/>
                <w:left w:val="none" w:sz="0" w:space="0" w:color="auto"/>
                <w:bottom w:val="none" w:sz="0" w:space="0" w:color="auto"/>
                <w:right w:val="none" w:sz="0" w:space="0" w:color="auto"/>
              </w:divBdr>
              <w:divsChild>
                <w:div w:id="2093155910">
                  <w:marLeft w:val="0"/>
                  <w:marRight w:val="-6084"/>
                  <w:marTop w:val="0"/>
                  <w:marBottom w:val="0"/>
                  <w:divBdr>
                    <w:top w:val="none" w:sz="0" w:space="0" w:color="auto"/>
                    <w:left w:val="none" w:sz="0" w:space="0" w:color="auto"/>
                    <w:bottom w:val="none" w:sz="0" w:space="0" w:color="auto"/>
                    <w:right w:val="none" w:sz="0" w:space="0" w:color="auto"/>
                  </w:divBdr>
                  <w:divsChild>
                    <w:div w:id="1864972292">
                      <w:marLeft w:val="0"/>
                      <w:marRight w:val="5604"/>
                      <w:marTop w:val="0"/>
                      <w:marBottom w:val="0"/>
                      <w:divBdr>
                        <w:top w:val="none" w:sz="0" w:space="0" w:color="auto"/>
                        <w:left w:val="none" w:sz="0" w:space="0" w:color="auto"/>
                        <w:bottom w:val="none" w:sz="0" w:space="0" w:color="auto"/>
                        <w:right w:val="none" w:sz="0" w:space="0" w:color="auto"/>
                      </w:divBdr>
                      <w:divsChild>
                        <w:div w:id="595404575">
                          <w:marLeft w:val="0"/>
                          <w:marRight w:val="0"/>
                          <w:marTop w:val="0"/>
                          <w:marBottom w:val="0"/>
                          <w:divBdr>
                            <w:top w:val="none" w:sz="0" w:space="0" w:color="auto"/>
                            <w:left w:val="none" w:sz="0" w:space="0" w:color="auto"/>
                            <w:bottom w:val="none" w:sz="0" w:space="0" w:color="auto"/>
                            <w:right w:val="none" w:sz="0" w:space="0" w:color="auto"/>
                          </w:divBdr>
                          <w:divsChild>
                            <w:div w:id="277414666">
                              <w:marLeft w:val="0"/>
                              <w:marRight w:val="0"/>
                              <w:marTop w:val="120"/>
                              <w:marBottom w:val="360"/>
                              <w:divBdr>
                                <w:top w:val="none" w:sz="0" w:space="0" w:color="auto"/>
                                <w:left w:val="none" w:sz="0" w:space="0" w:color="auto"/>
                                <w:bottom w:val="none" w:sz="0" w:space="0" w:color="auto"/>
                                <w:right w:val="none" w:sz="0" w:space="0" w:color="auto"/>
                              </w:divBdr>
                              <w:divsChild>
                                <w:div w:id="328679736">
                                  <w:marLeft w:val="351"/>
                                  <w:marRight w:val="0"/>
                                  <w:marTop w:val="0"/>
                                  <w:marBottom w:val="0"/>
                                  <w:divBdr>
                                    <w:top w:val="none" w:sz="0" w:space="0" w:color="auto"/>
                                    <w:left w:val="none" w:sz="0" w:space="0" w:color="auto"/>
                                    <w:bottom w:val="none" w:sz="0" w:space="0" w:color="auto"/>
                                    <w:right w:val="none" w:sz="0" w:space="0" w:color="auto"/>
                                  </w:divBdr>
                                </w:div>
                                <w:div w:id="1291203481">
                                  <w:marLeft w:val="0"/>
                                  <w:marRight w:val="0"/>
                                  <w:marTop w:val="0"/>
                                  <w:marBottom w:val="0"/>
                                  <w:divBdr>
                                    <w:top w:val="none" w:sz="0" w:space="0" w:color="auto"/>
                                    <w:left w:val="none" w:sz="0" w:space="0" w:color="auto"/>
                                    <w:bottom w:val="none" w:sz="0" w:space="0" w:color="auto"/>
                                    <w:right w:val="none" w:sz="0" w:space="0" w:color="auto"/>
                                  </w:divBdr>
                                </w:div>
                              </w:divsChild>
                            </w:div>
                            <w:div w:id="1616981998">
                              <w:marLeft w:val="0"/>
                              <w:marRight w:val="0"/>
                              <w:marTop w:val="120"/>
                              <w:marBottom w:val="360"/>
                              <w:divBdr>
                                <w:top w:val="none" w:sz="0" w:space="0" w:color="auto"/>
                                <w:left w:val="none" w:sz="0" w:space="0" w:color="auto"/>
                                <w:bottom w:val="none" w:sz="0" w:space="0" w:color="auto"/>
                                <w:right w:val="none" w:sz="0" w:space="0" w:color="auto"/>
                              </w:divBdr>
                              <w:divsChild>
                                <w:div w:id="1022785600">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165451">
      <w:bodyDiv w:val="1"/>
      <w:marLeft w:val="0"/>
      <w:marRight w:val="0"/>
      <w:marTop w:val="0"/>
      <w:marBottom w:val="0"/>
      <w:divBdr>
        <w:top w:val="none" w:sz="0" w:space="0" w:color="auto"/>
        <w:left w:val="none" w:sz="0" w:space="0" w:color="auto"/>
        <w:bottom w:val="none" w:sz="0" w:space="0" w:color="auto"/>
        <w:right w:val="none" w:sz="0" w:space="0" w:color="auto"/>
      </w:divBdr>
      <w:divsChild>
        <w:div w:id="1101026379">
          <w:marLeft w:val="0"/>
          <w:marRight w:val="0"/>
          <w:marTop w:val="0"/>
          <w:marBottom w:val="0"/>
          <w:divBdr>
            <w:top w:val="none" w:sz="0" w:space="0" w:color="auto"/>
            <w:left w:val="none" w:sz="0" w:space="0" w:color="auto"/>
            <w:bottom w:val="none" w:sz="0" w:space="0" w:color="auto"/>
            <w:right w:val="none" w:sz="0" w:space="0" w:color="auto"/>
          </w:divBdr>
          <w:divsChild>
            <w:div w:id="713695506">
              <w:marLeft w:val="0"/>
              <w:marRight w:val="0"/>
              <w:marTop w:val="0"/>
              <w:marBottom w:val="0"/>
              <w:divBdr>
                <w:top w:val="none" w:sz="0" w:space="0" w:color="auto"/>
                <w:left w:val="none" w:sz="0" w:space="0" w:color="auto"/>
                <w:bottom w:val="none" w:sz="0" w:space="0" w:color="auto"/>
                <w:right w:val="none" w:sz="0" w:space="0" w:color="auto"/>
              </w:divBdr>
              <w:divsChild>
                <w:div w:id="2131433094">
                  <w:marLeft w:val="0"/>
                  <w:marRight w:val="0"/>
                  <w:marTop w:val="0"/>
                  <w:marBottom w:val="0"/>
                  <w:divBdr>
                    <w:top w:val="none" w:sz="0" w:space="0" w:color="auto"/>
                    <w:left w:val="none" w:sz="0" w:space="0" w:color="auto"/>
                    <w:bottom w:val="none" w:sz="0" w:space="0" w:color="auto"/>
                    <w:right w:val="none" w:sz="0" w:space="0" w:color="auto"/>
                  </w:divBdr>
                  <w:divsChild>
                    <w:div w:id="1506087253">
                      <w:marLeft w:val="0"/>
                      <w:marRight w:val="0"/>
                      <w:marTop w:val="0"/>
                      <w:marBottom w:val="0"/>
                      <w:divBdr>
                        <w:top w:val="none" w:sz="0" w:space="0" w:color="auto"/>
                        <w:left w:val="none" w:sz="0" w:space="0" w:color="auto"/>
                        <w:bottom w:val="none" w:sz="0" w:space="0" w:color="auto"/>
                        <w:right w:val="none" w:sz="0" w:space="0" w:color="auto"/>
                      </w:divBdr>
                      <w:divsChild>
                        <w:div w:id="255477687">
                          <w:marLeft w:val="0"/>
                          <w:marRight w:val="0"/>
                          <w:marTop w:val="0"/>
                          <w:marBottom w:val="0"/>
                          <w:divBdr>
                            <w:top w:val="none" w:sz="0" w:space="0" w:color="auto"/>
                            <w:left w:val="none" w:sz="0" w:space="0" w:color="auto"/>
                            <w:bottom w:val="none" w:sz="0" w:space="0" w:color="auto"/>
                            <w:right w:val="none" w:sz="0" w:space="0" w:color="auto"/>
                          </w:divBdr>
                          <w:divsChild>
                            <w:div w:id="1101606992">
                              <w:marLeft w:val="0"/>
                              <w:marRight w:val="0"/>
                              <w:marTop w:val="0"/>
                              <w:marBottom w:val="0"/>
                              <w:divBdr>
                                <w:top w:val="none" w:sz="0" w:space="0" w:color="auto"/>
                                <w:left w:val="none" w:sz="0" w:space="0" w:color="auto"/>
                                <w:bottom w:val="none" w:sz="0" w:space="0" w:color="auto"/>
                                <w:right w:val="none" w:sz="0" w:space="0" w:color="auto"/>
                              </w:divBdr>
                              <w:divsChild>
                                <w:div w:id="1670058504">
                                  <w:marLeft w:val="0"/>
                                  <w:marRight w:val="0"/>
                                  <w:marTop w:val="0"/>
                                  <w:marBottom w:val="0"/>
                                  <w:divBdr>
                                    <w:top w:val="none" w:sz="0" w:space="0" w:color="auto"/>
                                    <w:left w:val="none" w:sz="0" w:space="0" w:color="auto"/>
                                    <w:bottom w:val="none" w:sz="0" w:space="0" w:color="auto"/>
                                    <w:right w:val="none" w:sz="0" w:space="0" w:color="auto"/>
                                  </w:divBdr>
                                  <w:divsChild>
                                    <w:div w:id="1847742372">
                                      <w:marLeft w:val="0"/>
                                      <w:marRight w:val="0"/>
                                      <w:marTop w:val="0"/>
                                      <w:marBottom w:val="0"/>
                                      <w:divBdr>
                                        <w:top w:val="none" w:sz="0" w:space="0" w:color="auto"/>
                                        <w:left w:val="none" w:sz="0" w:space="0" w:color="auto"/>
                                        <w:bottom w:val="none" w:sz="0" w:space="0" w:color="auto"/>
                                        <w:right w:val="none" w:sz="0" w:space="0" w:color="auto"/>
                                      </w:divBdr>
                                      <w:divsChild>
                                        <w:div w:id="18398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603642">
      <w:bodyDiv w:val="1"/>
      <w:marLeft w:val="0"/>
      <w:marRight w:val="0"/>
      <w:marTop w:val="0"/>
      <w:marBottom w:val="0"/>
      <w:divBdr>
        <w:top w:val="none" w:sz="0" w:space="0" w:color="auto"/>
        <w:left w:val="none" w:sz="0" w:space="0" w:color="auto"/>
        <w:bottom w:val="none" w:sz="0" w:space="0" w:color="auto"/>
        <w:right w:val="none" w:sz="0" w:space="0" w:color="auto"/>
      </w:divBdr>
      <w:divsChild>
        <w:div w:id="1999723141">
          <w:marLeft w:val="0"/>
          <w:marRight w:val="0"/>
          <w:marTop w:val="0"/>
          <w:marBottom w:val="0"/>
          <w:divBdr>
            <w:top w:val="none" w:sz="0" w:space="0" w:color="auto"/>
            <w:left w:val="none" w:sz="0" w:space="0" w:color="auto"/>
            <w:bottom w:val="none" w:sz="0" w:space="0" w:color="auto"/>
            <w:right w:val="none" w:sz="0" w:space="0" w:color="auto"/>
          </w:divBdr>
          <w:divsChild>
            <w:div w:id="2036729156">
              <w:marLeft w:val="0"/>
              <w:marRight w:val="0"/>
              <w:marTop w:val="0"/>
              <w:marBottom w:val="0"/>
              <w:divBdr>
                <w:top w:val="none" w:sz="0" w:space="0" w:color="auto"/>
                <w:left w:val="none" w:sz="0" w:space="0" w:color="auto"/>
                <w:bottom w:val="none" w:sz="0" w:space="0" w:color="auto"/>
                <w:right w:val="none" w:sz="0" w:space="0" w:color="auto"/>
              </w:divBdr>
              <w:divsChild>
                <w:div w:id="1147629382">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7080">
              <w:marLeft w:val="0"/>
              <w:marRight w:val="0"/>
              <w:marTop w:val="0"/>
              <w:marBottom w:val="0"/>
              <w:divBdr>
                <w:top w:val="none" w:sz="0" w:space="0" w:color="auto"/>
                <w:left w:val="none" w:sz="0" w:space="0" w:color="auto"/>
                <w:bottom w:val="none" w:sz="0" w:space="0" w:color="auto"/>
                <w:right w:val="none" w:sz="0" w:space="0" w:color="auto"/>
              </w:divBdr>
              <w:divsChild>
                <w:div w:id="1802504404">
                  <w:marLeft w:val="0"/>
                  <w:marRight w:val="0"/>
                  <w:marTop w:val="0"/>
                  <w:marBottom w:val="0"/>
                  <w:divBdr>
                    <w:top w:val="none" w:sz="0" w:space="0" w:color="auto"/>
                    <w:left w:val="none" w:sz="0" w:space="0" w:color="auto"/>
                    <w:bottom w:val="none" w:sz="0" w:space="0" w:color="auto"/>
                    <w:right w:val="none" w:sz="0" w:space="0" w:color="auto"/>
                  </w:divBdr>
                  <w:divsChild>
                    <w:div w:id="18901308">
                      <w:marLeft w:val="0"/>
                      <w:marRight w:val="0"/>
                      <w:marTop w:val="0"/>
                      <w:marBottom w:val="0"/>
                      <w:divBdr>
                        <w:top w:val="none" w:sz="0" w:space="0" w:color="auto"/>
                        <w:left w:val="none" w:sz="0" w:space="0" w:color="auto"/>
                        <w:bottom w:val="none" w:sz="0" w:space="0" w:color="auto"/>
                        <w:right w:val="none" w:sz="0" w:space="0" w:color="auto"/>
                      </w:divBdr>
                    </w:div>
                    <w:div w:id="96550521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974330791">
              <w:marLeft w:val="0"/>
              <w:marRight w:val="0"/>
              <w:marTop w:val="0"/>
              <w:marBottom w:val="0"/>
              <w:divBdr>
                <w:top w:val="none" w:sz="0" w:space="0" w:color="auto"/>
                <w:left w:val="none" w:sz="0" w:space="0" w:color="auto"/>
                <w:bottom w:val="none" w:sz="0" w:space="0" w:color="auto"/>
                <w:right w:val="none" w:sz="0" w:space="0" w:color="auto"/>
              </w:divBdr>
              <w:divsChild>
                <w:div w:id="802423166">
                  <w:marLeft w:val="0"/>
                  <w:marRight w:val="0"/>
                  <w:marTop w:val="0"/>
                  <w:marBottom w:val="0"/>
                  <w:divBdr>
                    <w:top w:val="none" w:sz="0" w:space="0" w:color="auto"/>
                    <w:left w:val="none" w:sz="0" w:space="0" w:color="auto"/>
                    <w:bottom w:val="none" w:sz="0" w:space="0" w:color="auto"/>
                    <w:right w:val="none" w:sz="0" w:space="0" w:color="auto"/>
                  </w:divBdr>
                  <w:divsChild>
                    <w:div w:id="1159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1254">
              <w:marLeft w:val="0"/>
              <w:marRight w:val="0"/>
              <w:marTop w:val="0"/>
              <w:marBottom w:val="0"/>
              <w:divBdr>
                <w:top w:val="none" w:sz="0" w:space="0" w:color="auto"/>
                <w:left w:val="none" w:sz="0" w:space="0" w:color="auto"/>
                <w:bottom w:val="none" w:sz="0" w:space="0" w:color="auto"/>
                <w:right w:val="none" w:sz="0" w:space="0" w:color="auto"/>
              </w:divBdr>
              <w:divsChild>
                <w:div w:id="1219391100">
                  <w:marLeft w:val="0"/>
                  <w:marRight w:val="0"/>
                  <w:marTop w:val="0"/>
                  <w:marBottom w:val="0"/>
                  <w:divBdr>
                    <w:top w:val="none" w:sz="0" w:space="0" w:color="auto"/>
                    <w:left w:val="none" w:sz="0" w:space="0" w:color="auto"/>
                    <w:bottom w:val="none" w:sz="0" w:space="0" w:color="auto"/>
                    <w:right w:val="none" w:sz="0" w:space="0" w:color="auto"/>
                  </w:divBdr>
                  <w:divsChild>
                    <w:div w:id="1425495965">
                      <w:marLeft w:val="0"/>
                      <w:marRight w:val="0"/>
                      <w:marTop w:val="0"/>
                      <w:marBottom w:val="0"/>
                      <w:divBdr>
                        <w:top w:val="none" w:sz="0" w:space="0" w:color="auto"/>
                        <w:left w:val="none" w:sz="0" w:space="0" w:color="auto"/>
                        <w:bottom w:val="none" w:sz="0" w:space="0" w:color="auto"/>
                        <w:right w:val="none" w:sz="0" w:space="0" w:color="auto"/>
                      </w:divBdr>
                    </w:div>
                    <w:div w:id="90099137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838421591">
              <w:marLeft w:val="0"/>
              <w:marRight w:val="0"/>
              <w:marTop w:val="0"/>
              <w:marBottom w:val="0"/>
              <w:divBdr>
                <w:top w:val="none" w:sz="0" w:space="0" w:color="auto"/>
                <w:left w:val="none" w:sz="0" w:space="0" w:color="auto"/>
                <w:bottom w:val="none" w:sz="0" w:space="0" w:color="auto"/>
                <w:right w:val="none" w:sz="0" w:space="0" w:color="auto"/>
              </w:divBdr>
              <w:divsChild>
                <w:div w:id="1799299529">
                  <w:marLeft w:val="0"/>
                  <w:marRight w:val="0"/>
                  <w:marTop w:val="0"/>
                  <w:marBottom w:val="0"/>
                  <w:divBdr>
                    <w:top w:val="none" w:sz="0" w:space="0" w:color="auto"/>
                    <w:left w:val="none" w:sz="0" w:space="0" w:color="auto"/>
                    <w:bottom w:val="none" w:sz="0" w:space="0" w:color="auto"/>
                    <w:right w:val="none" w:sz="0" w:space="0" w:color="auto"/>
                  </w:divBdr>
                  <w:divsChild>
                    <w:div w:id="19358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927">
              <w:marLeft w:val="0"/>
              <w:marRight w:val="0"/>
              <w:marTop w:val="0"/>
              <w:marBottom w:val="0"/>
              <w:divBdr>
                <w:top w:val="none" w:sz="0" w:space="0" w:color="auto"/>
                <w:left w:val="none" w:sz="0" w:space="0" w:color="auto"/>
                <w:bottom w:val="none" w:sz="0" w:space="0" w:color="auto"/>
                <w:right w:val="none" w:sz="0" w:space="0" w:color="auto"/>
              </w:divBdr>
              <w:divsChild>
                <w:div w:id="1554076241">
                  <w:marLeft w:val="0"/>
                  <w:marRight w:val="0"/>
                  <w:marTop w:val="0"/>
                  <w:marBottom w:val="0"/>
                  <w:divBdr>
                    <w:top w:val="none" w:sz="0" w:space="0" w:color="auto"/>
                    <w:left w:val="none" w:sz="0" w:space="0" w:color="auto"/>
                    <w:bottom w:val="none" w:sz="0" w:space="0" w:color="auto"/>
                    <w:right w:val="none" w:sz="0" w:space="0" w:color="auto"/>
                  </w:divBdr>
                  <w:divsChild>
                    <w:div w:id="855995396">
                      <w:marLeft w:val="0"/>
                      <w:marRight w:val="0"/>
                      <w:marTop w:val="0"/>
                      <w:marBottom w:val="0"/>
                      <w:divBdr>
                        <w:top w:val="none" w:sz="0" w:space="0" w:color="auto"/>
                        <w:left w:val="none" w:sz="0" w:space="0" w:color="auto"/>
                        <w:bottom w:val="none" w:sz="0" w:space="0" w:color="auto"/>
                        <w:right w:val="none" w:sz="0" w:space="0" w:color="auto"/>
                      </w:divBdr>
                    </w:div>
                    <w:div w:id="180396398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835419612">
              <w:marLeft w:val="0"/>
              <w:marRight w:val="0"/>
              <w:marTop w:val="0"/>
              <w:marBottom w:val="0"/>
              <w:divBdr>
                <w:top w:val="none" w:sz="0" w:space="0" w:color="auto"/>
                <w:left w:val="none" w:sz="0" w:space="0" w:color="auto"/>
                <w:bottom w:val="none" w:sz="0" w:space="0" w:color="auto"/>
                <w:right w:val="none" w:sz="0" w:space="0" w:color="auto"/>
              </w:divBdr>
              <w:divsChild>
                <w:div w:id="1827473423">
                  <w:marLeft w:val="0"/>
                  <w:marRight w:val="0"/>
                  <w:marTop w:val="0"/>
                  <w:marBottom w:val="0"/>
                  <w:divBdr>
                    <w:top w:val="none" w:sz="0" w:space="0" w:color="auto"/>
                    <w:left w:val="none" w:sz="0" w:space="0" w:color="auto"/>
                    <w:bottom w:val="none" w:sz="0" w:space="0" w:color="auto"/>
                    <w:right w:val="none" w:sz="0" w:space="0" w:color="auto"/>
                  </w:divBdr>
                  <w:divsChild>
                    <w:div w:id="12085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9599">
              <w:marLeft w:val="0"/>
              <w:marRight w:val="0"/>
              <w:marTop w:val="0"/>
              <w:marBottom w:val="0"/>
              <w:divBdr>
                <w:top w:val="none" w:sz="0" w:space="0" w:color="auto"/>
                <w:left w:val="none" w:sz="0" w:space="0" w:color="auto"/>
                <w:bottom w:val="none" w:sz="0" w:space="0" w:color="auto"/>
                <w:right w:val="none" w:sz="0" w:space="0" w:color="auto"/>
              </w:divBdr>
              <w:divsChild>
                <w:div w:id="837161050">
                  <w:marLeft w:val="0"/>
                  <w:marRight w:val="0"/>
                  <w:marTop w:val="0"/>
                  <w:marBottom w:val="0"/>
                  <w:divBdr>
                    <w:top w:val="none" w:sz="0" w:space="0" w:color="auto"/>
                    <w:left w:val="none" w:sz="0" w:space="0" w:color="auto"/>
                    <w:bottom w:val="none" w:sz="0" w:space="0" w:color="auto"/>
                    <w:right w:val="none" w:sz="0" w:space="0" w:color="auto"/>
                  </w:divBdr>
                  <w:divsChild>
                    <w:div w:id="448815020">
                      <w:marLeft w:val="0"/>
                      <w:marRight w:val="0"/>
                      <w:marTop w:val="0"/>
                      <w:marBottom w:val="0"/>
                      <w:divBdr>
                        <w:top w:val="none" w:sz="0" w:space="0" w:color="auto"/>
                        <w:left w:val="none" w:sz="0" w:space="0" w:color="auto"/>
                        <w:bottom w:val="none" w:sz="0" w:space="0" w:color="auto"/>
                        <w:right w:val="none" w:sz="0" w:space="0" w:color="auto"/>
                      </w:divBdr>
                    </w:div>
                    <w:div w:id="211585979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429469951">
              <w:marLeft w:val="0"/>
              <w:marRight w:val="0"/>
              <w:marTop w:val="0"/>
              <w:marBottom w:val="0"/>
              <w:divBdr>
                <w:top w:val="none" w:sz="0" w:space="0" w:color="auto"/>
                <w:left w:val="none" w:sz="0" w:space="0" w:color="auto"/>
                <w:bottom w:val="none" w:sz="0" w:space="0" w:color="auto"/>
                <w:right w:val="none" w:sz="0" w:space="0" w:color="auto"/>
              </w:divBdr>
              <w:divsChild>
                <w:div w:id="1318412118">
                  <w:marLeft w:val="0"/>
                  <w:marRight w:val="0"/>
                  <w:marTop w:val="0"/>
                  <w:marBottom w:val="0"/>
                  <w:divBdr>
                    <w:top w:val="none" w:sz="0" w:space="0" w:color="auto"/>
                    <w:left w:val="none" w:sz="0" w:space="0" w:color="auto"/>
                    <w:bottom w:val="none" w:sz="0" w:space="0" w:color="auto"/>
                    <w:right w:val="none" w:sz="0" w:space="0" w:color="auto"/>
                  </w:divBdr>
                  <w:divsChild>
                    <w:div w:id="6103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759">
              <w:marLeft w:val="0"/>
              <w:marRight w:val="0"/>
              <w:marTop w:val="0"/>
              <w:marBottom w:val="0"/>
              <w:divBdr>
                <w:top w:val="none" w:sz="0" w:space="0" w:color="auto"/>
                <w:left w:val="none" w:sz="0" w:space="0" w:color="auto"/>
                <w:bottom w:val="none" w:sz="0" w:space="0" w:color="auto"/>
                <w:right w:val="none" w:sz="0" w:space="0" w:color="auto"/>
              </w:divBdr>
              <w:divsChild>
                <w:div w:id="463163176">
                  <w:marLeft w:val="0"/>
                  <w:marRight w:val="0"/>
                  <w:marTop w:val="0"/>
                  <w:marBottom w:val="0"/>
                  <w:divBdr>
                    <w:top w:val="none" w:sz="0" w:space="0" w:color="auto"/>
                    <w:left w:val="none" w:sz="0" w:space="0" w:color="auto"/>
                    <w:bottom w:val="none" w:sz="0" w:space="0" w:color="auto"/>
                    <w:right w:val="none" w:sz="0" w:space="0" w:color="auto"/>
                  </w:divBdr>
                  <w:divsChild>
                    <w:div w:id="763455014">
                      <w:marLeft w:val="0"/>
                      <w:marRight w:val="0"/>
                      <w:marTop w:val="0"/>
                      <w:marBottom w:val="0"/>
                      <w:divBdr>
                        <w:top w:val="none" w:sz="0" w:space="0" w:color="auto"/>
                        <w:left w:val="none" w:sz="0" w:space="0" w:color="auto"/>
                        <w:bottom w:val="none" w:sz="0" w:space="0" w:color="auto"/>
                        <w:right w:val="none" w:sz="0" w:space="0" w:color="auto"/>
                      </w:divBdr>
                    </w:div>
                    <w:div w:id="161462600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986862184">
              <w:marLeft w:val="0"/>
              <w:marRight w:val="0"/>
              <w:marTop w:val="0"/>
              <w:marBottom w:val="0"/>
              <w:divBdr>
                <w:top w:val="none" w:sz="0" w:space="0" w:color="auto"/>
                <w:left w:val="none" w:sz="0" w:space="0" w:color="auto"/>
                <w:bottom w:val="none" w:sz="0" w:space="0" w:color="auto"/>
                <w:right w:val="none" w:sz="0" w:space="0" w:color="auto"/>
              </w:divBdr>
              <w:divsChild>
                <w:div w:id="618537314">
                  <w:marLeft w:val="0"/>
                  <w:marRight w:val="0"/>
                  <w:marTop w:val="0"/>
                  <w:marBottom w:val="0"/>
                  <w:divBdr>
                    <w:top w:val="none" w:sz="0" w:space="0" w:color="auto"/>
                    <w:left w:val="none" w:sz="0" w:space="0" w:color="auto"/>
                    <w:bottom w:val="none" w:sz="0" w:space="0" w:color="auto"/>
                    <w:right w:val="none" w:sz="0" w:space="0" w:color="auto"/>
                  </w:divBdr>
                  <w:divsChild>
                    <w:div w:id="1600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883">
              <w:marLeft w:val="0"/>
              <w:marRight w:val="0"/>
              <w:marTop w:val="0"/>
              <w:marBottom w:val="0"/>
              <w:divBdr>
                <w:top w:val="none" w:sz="0" w:space="0" w:color="auto"/>
                <w:left w:val="none" w:sz="0" w:space="0" w:color="auto"/>
                <w:bottom w:val="none" w:sz="0" w:space="0" w:color="auto"/>
                <w:right w:val="none" w:sz="0" w:space="0" w:color="auto"/>
              </w:divBdr>
              <w:divsChild>
                <w:div w:id="1042247077">
                  <w:marLeft w:val="0"/>
                  <w:marRight w:val="0"/>
                  <w:marTop w:val="0"/>
                  <w:marBottom w:val="0"/>
                  <w:divBdr>
                    <w:top w:val="none" w:sz="0" w:space="0" w:color="auto"/>
                    <w:left w:val="none" w:sz="0" w:space="0" w:color="auto"/>
                    <w:bottom w:val="none" w:sz="0" w:space="0" w:color="auto"/>
                    <w:right w:val="none" w:sz="0" w:space="0" w:color="auto"/>
                  </w:divBdr>
                  <w:divsChild>
                    <w:div w:id="302546622">
                      <w:marLeft w:val="0"/>
                      <w:marRight w:val="0"/>
                      <w:marTop w:val="0"/>
                      <w:marBottom w:val="0"/>
                      <w:divBdr>
                        <w:top w:val="none" w:sz="0" w:space="0" w:color="auto"/>
                        <w:left w:val="none" w:sz="0" w:space="0" w:color="auto"/>
                        <w:bottom w:val="none" w:sz="0" w:space="0" w:color="auto"/>
                        <w:right w:val="none" w:sz="0" w:space="0" w:color="auto"/>
                      </w:divBdr>
                    </w:div>
                    <w:div w:id="154764145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24342630">
              <w:marLeft w:val="0"/>
              <w:marRight w:val="0"/>
              <w:marTop w:val="0"/>
              <w:marBottom w:val="0"/>
              <w:divBdr>
                <w:top w:val="none" w:sz="0" w:space="0" w:color="auto"/>
                <w:left w:val="none" w:sz="0" w:space="0" w:color="auto"/>
                <w:bottom w:val="none" w:sz="0" w:space="0" w:color="auto"/>
                <w:right w:val="none" w:sz="0" w:space="0" w:color="auto"/>
              </w:divBdr>
              <w:divsChild>
                <w:div w:id="1596592490">
                  <w:marLeft w:val="0"/>
                  <w:marRight w:val="0"/>
                  <w:marTop w:val="0"/>
                  <w:marBottom w:val="0"/>
                  <w:divBdr>
                    <w:top w:val="none" w:sz="0" w:space="0" w:color="auto"/>
                    <w:left w:val="none" w:sz="0" w:space="0" w:color="auto"/>
                    <w:bottom w:val="none" w:sz="0" w:space="0" w:color="auto"/>
                    <w:right w:val="none" w:sz="0" w:space="0" w:color="auto"/>
                  </w:divBdr>
                  <w:divsChild>
                    <w:div w:id="8309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9426">
              <w:marLeft w:val="0"/>
              <w:marRight w:val="0"/>
              <w:marTop w:val="0"/>
              <w:marBottom w:val="0"/>
              <w:divBdr>
                <w:top w:val="none" w:sz="0" w:space="0" w:color="auto"/>
                <w:left w:val="none" w:sz="0" w:space="0" w:color="auto"/>
                <w:bottom w:val="none" w:sz="0" w:space="0" w:color="auto"/>
                <w:right w:val="none" w:sz="0" w:space="0" w:color="auto"/>
              </w:divBdr>
              <w:divsChild>
                <w:div w:id="635455342">
                  <w:marLeft w:val="0"/>
                  <w:marRight w:val="0"/>
                  <w:marTop w:val="0"/>
                  <w:marBottom w:val="0"/>
                  <w:divBdr>
                    <w:top w:val="none" w:sz="0" w:space="0" w:color="auto"/>
                    <w:left w:val="none" w:sz="0" w:space="0" w:color="auto"/>
                    <w:bottom w:val="none" w:sz="0" w:space="0" w:color="auto"/>
                    <w:right w:val="none" w:sz="0" w:space="0" w:color="auto"/>
                  </w:divBdr>
                  <w:divsChild>
                    <w:div w:id="302658218">
                      <w:marLeft w:val="0"/>
                      <w:marRight w:val="0"/>
                      <w:marTop w:val="0"/>
                      <w:marBottom w:val="0"/>
                      <w:divBdr>
                        <w:top w:val="none" w:sz="0" w:space="0" w:color="auto"/>
                        <w:left w:val="none" w:sz="0" w:space="0" w:color="auto"/>
                        <w:bottom w:val="none" w:sz="0" w:space="0" w:color="auto"/>
                        <w:right w:val="none" w:sz="0" w:space="0" w:color="auto"/>
                      </w:divBdr>
                    </w:div>
                    <w:div w:id="107401547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00424251">
              <w:marLeft w:val="0"/>
              <w:marRight w:val="0"/>
              <w:marTop w:val="0"/>
              <w:marBottom w:val="0"/>
              <w:divBdr>
                <w:top w:val="none" w:sz="0" w:space="0" w:color="auto"/>
                <w:left w:val="none" w:sz="0" w:space="0" w:color="auto"/>
                <w:bottom w:val="none" w:sz="0" w:space="0" w:color="auto"/>
                <w:right w:val="none" w:sz="0" w:space="0" w:color="auto"/>
              </w:divBdr>
              <w:divsChild>
                <w:div w:id="2073892279">
                  <w:marLeft w:val="0"/>
                  <w:marRight w:val="0"/>
                  <w:marTop w:val="0"/>
                  <w:marBottom w:val="0"/>
                  <w:divBdr>
                    <w:top w:val="none" w:sz="0" w:space="0" w:color="auto"/>
                    <w:left w:val="none" w:sz="0" w:space="0" w:color="auto"/>
                    <w:bottom w:val="none" w:sz="0" w:space="0" w:color="auto"/>
                    <w:right w:val="none" w:sz="0" w:space="0" w:color="auto"/>
                  </w:divBdr>
                  <w:divsChild>
                    <w:div w:id="297272164">
                      <w:marLeft w:val="0"/>
                      <w:marRight w:val="0"/>
                      <w:marTop w:val="0"/>
                      <w:marBottom w:val="0"/>
                      <w:divBdr>
                        <w:top w:val="none" w:sz="0" w:space="0" w:color="auto"/>
                        <w:left w:val="none" w:sz="0" w:space="0" w:color="auto"/>
                        <w:bottom w:val="none" w:sz="0" w:space="0" w:color="auto"/>
                        <w:right w:val="none" w:sz="0" w:space="0" w:color="auto"/>
                      </w:divBdr>
                    </w:div>
                    <w:div w:id="532807990">
                      <w:marLeft w:val="0"/>
                      <w:marRight w:val="0"/>
                      <w:marTop w:val="0"/>
                      <w:marBottom w:val="0"/>
                      <w:divBdr>
                        <w:top w:val="none" w:sz="0" w:space="0" w:color="auto"/>
                        <w:left w:val="none" w:sz="0" w:space="0" w:color="auto"/>
                        <w:bottom w:val="none" w:sz="0" w:space="0" w:color="auto"/>
                        <w:right w:val="none" w:sz="0" w:space="0" w:color="auto"/>
                      </w:divBdr>
                      <w:divsChild>
                        <w:div w:id="4416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6717">
              <w:marLeft w:val="0"/>
              <w:marRight w:val="0"/>
              <w:marTop w:val="0"/>
              <w:marBottom w:val="0"/>
              <w:divBdr>
                <w:top w:val="none" w:sz="0" w:space="0" w:color="auto"/>
                <w:left w:val="none" w:sz="0" w:space="0" w:color="auto"/>
                <w:bottom w:val="none" w:sz="0" w:space="0" w:color="auto"/>
                <w:right w:val="none" w:sz="0" w:space="0" w:color="auto"/>
              </w:divBdr>
              <w:divsChild>
                <w:div w:id="756706786">
                  <w:marLeft w:val="0"/>
                  <w:marRight w:val="0"/>
                  <w:marTop w:val="0"/>
                  <w:marBottom w:val="0"/>
                  <w:divBdr>
                    <w:top w:val="none" w:sz="0" w:space="0" w:color="auto"/>
                    <w:left w:val="none" w:sz="0" w:space="0" w:color="auto"/>
                    <w:bottom w:val="none" w:sz="0" w:space="0" w:color="auto"/>
                    <w:right w:val="none" w:sz="0" w:space="0" w:color="auto"/>
                  </w:divBdr>
                  <w:divsChild>
                    <w:div w:id="422918956">
                      <w:marLeft w:val="0"/>
                      <w:marRight w:val="0"/>
                      <w:marTop w:val="0"/>
                      <w:marBottom w:val="0"/>
                      <w:divBdr>
                        <w:top w:val="none" w:sz="0" w:space="0" w:color="auto"/>
                        <w:left w:val="none" w:sz="0" w:space="0" w:color="auto"/>
                        <w:bottom w:val="none" w:sz="0" w:space="0" w:color="auto"/>
                        <w:right w:val="none" w:sz="0" w:space="0" w:color="auto"/>
                      </w:divBdr>
                    </w:div>
                    <w:div w:id="5831027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3086921">
              <w:marLeft w:val="0"/>
              <w:marRight w:val="0"/>
              <w:marTop w:val="0"/>
              <w:marBottom w:val="0"/>
              <w:divBdr>
                <w:top w:val="none" w:sz="0" w:space="0" w:color="auto"/>
                <w:left w:val="none" w:sz="0" w:space="0" w:color="auto"/>
                <w:bottom w:val="none" w:sz="0" w:space="0" w:color="auto"/>
                <w:right w:val="none" w:sz="0" w:space="0" w:color="auto"/>
              </w:divBdr>
              <w:divsChild>
                <w:div w:id="341123655">
                  <w:marLeft w:val="0"/>
                  <w:marRight w:val="0"/>
                  <w:marTop w:val="0"/>
                  <w:marBottom w:val="0"/>
                  <w:divBdr>
                    <w:top w:val="none" w:sz="0" w:space="0" w:color="auto"/>
                    <w:left w:val="none" w:sz="0" w:space="0" w:color="auto"/>
                    <w:bottom w:val="none" w:sz="0" w:space="0" w:color="auto"/>
                    <w:right w:val="none" w:sz="0" w:space="0" w:color="auto"/>
                  </w:divBdr>
                  <w:divsChild>
                    <w:div w:id="14869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0393">
              <w:marLeft w:val="0"/>
              <w:marRight w:val="0"/>
              <w:marTop w:val="0"/>
              <w:marBottom w:val="0"/>
              <w:divBdr>
                <w:top w:val="none" w:sz="0" w:space="0" w:color="auto"/>
                <w:left w:val="none" w:sz="0" w:space="0" w:color="auto"/>
                <w:bottom w:val="none" w:sz="0" w:space="0" w:color="auto"/>
                <w:right w:val="none" w:sz="0" w:space="0" w:color="auto"/>
              </w:divBdr>
              <w:divsChild>
                <w:div w:id="199512485">
                  <w:marLeft w:val="0"/>
                  <w:marRight w:val="0"/>
                  <w:marTop w:val="0"/>
                  <w:marBottom w:val="0"/>
                  <w:divBdr>
                    <w:top w:val="none" w:sz="0" w:space="0" w:color="auto"/>
                    <w:left w:val="none" w:sz="0" w:space="0" w:color="auto"/>
                    <w:bottom w:val="none" w:sz="0" w:space="0" w:color="auto"/>
                    <w:right w:val="none" w:sz="0" w:space="0" w:color="auto"/>
                  </w:divBdr>
                  <w:divsChild>
                    <w:div w:id="1613517753">
                      <w:marLeft w:val="0"/>
                      <w:marRight w:val="0"/>
                      <w:marTop w:val="0"/>
                      <w:marBottom w:val="0"/>
                      <w:divBdr>
                        <w:top w:val="none" w:sz="0" w:space="0" w:color="auto"/>
                        <w:left w:val="none" w:sz="0" w:space="0" w:color="auto"/>
                        <w:bottom w:val="none" w:sz="0" w:space="0" w:color="auto"/>
                        <w:right w:val="none" w:sz="0" w:space="0" w:color="auto"/>
                      </w:divBdr>
                    </w:div>
                    <w:div w:id="16922572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023633066">
              <w:marLeft w:val="0"/>
              <w:marRight w:val="0"/>
              <w:marTop w:val="0"/>
              <w:marBottom w:val="0"/>
              <w:divBdr>
                <w:top w:val="none" w:sz="0" w:space="0" w:color="auto"/>
                <w:left w:val="none" w:sz="0" w:space="0" w:color="auto"/>
                <w:bottom w:val="none" w:sz="0" w:space="0" w:color="auto"/>
                <w:right w:val="none" w:sz="0" w:space="0" w:color="auto"/>
              </w:divBdr>
              <w:divsChild>
                <w:div w:id="1239822634">
                  <w:marLeft w:val="0"/>
                  <w:marRight w:val="0"/>
                  <w:marTop w:val="0"/>
                  <w:marBottom w:val="0"/>
                  <w:divBdr>
                    <w:top w:val="none" w:sz="0" w:space="0" w:color="auto"/>
                    <w:left w:val="none" w:sz="0" w:space="0" w:color="auto"/>
                    <w:bottom w:val="none" w:sz="0" w:space="0" w:color="auto"/>
                    <w:right w:val="none" w:sz="0" w:space="0" w:color="auto"/>
                  </w:divBdr>
                  <w:divsChild>
                    <w:div w:id="13154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603">
              <w:marLeft w:val="0"/>
              <w:marRight w:val="0"/>
              <w:marTop w:val="0"/>
              <w:marBottom w:val="0"/>
              <w:divBdr>
                <w:top w:val="none" w:sz="0" w:space="0" w:color="auto"/>
                <w:left w:val="none" w:sz="0" w:space="0" w:color="auto"/>
                <w:bottom w:val="none" w:sz="0" w:space="0" w:color="auto"/>
                <w:right w:val="none" w:sz="0" w:space="0" w:color="auto"/>
              </w:divBdr>
              <w:divsChild>
                <w:div w:id="644168719">
                  <w:marLeft w:val="0"/>
                  <w:marRight w:val="0"/>
                  <w:marTop w:val="0"/>
                  <w:marBottom w:val="0"/>
                  <w:divBdr>
                    <w:top w:val="none" w:sz="0" w:space="0" w:color="auto"/>
                    <w:left w:val="none" w:sz="0" w:space="0" w:color="auto"/>
                    <w:bottom w:val="none" w:sz="0" w:space="0" w:color="auto"/>
                    <w:right w:val="none" w:sz="0" w:space="0" w:color="auto"/>
                  </w:divBdr>
                  <w:divsChild>
                    <w:div w:id="852887894">
                      <w:marLeft w:val="0"/>
                      <w:marRight w:val="0"/>
                      <w:marTop w:val="0"/>
                      <w:marBottom w:val="0"/>
                      <w:divBdr>
                        <w:top w:val="none" w:sz="0" w:space="0" w:color="auto"/>
                        <w:left w:val="none" w:sz="0" w:space="0" w:color="auto"/>
                        <w:bottom w:val="none" w:sz="0" w:space="0" w:color="auto"/>
                        <w:right w:val="none" w:sz="0" w:space="0" w:color="auto"/>
                      </w:divBdr>
                      <w:divsChild>
                        <w:div w:id="1364789587">
                          <w:marLeft w:val="0"/>
                          <w:marRight w:val="0"/>
                          <w:marTop w:val="0"/>
                          <w:marBottom w:val="0"/>
                          <w:divBdr>
                            <w:top w:val="none" w:sz="0" w:space="0" w:color="auto"/>
                            <w:left w:val="none" w:sz="0" w:space="0" w:color="auto"/>
                            <w:bottom w:val="none" w:sz="0" w:space="0" w:color="auto"/>
                            <w:right w:val="none" w:sz="0" w:space="0" w:color="auto"/>
                          </w:divBdr>
                          <w:divsChild>
                            <w:div w:id="1190532179">
                              <w:marLeft w:val="0"/>
                              <w:marRight w:val="0"/>
                              <w:marTop w:val="0"/>
                              <w:marBottom w:val="0"/>
                              <w:divBdr>
                                <w:top w:val="none" w:sz="0" w:space="0" w:color="auto"/>
                                <w:left w:val="none" w:sz="0" w:space="0" w:color="auto"/>
                                <w:bottom w:val="none" w:sz="0" w:space="0" w:color="auto"/>
                                <w:right w:val="none" w:sz="0" w:space="0" w:color="auto"/>
                              </w:divBdr>
                              <w:divsChild>
                                <w:div w:id="5693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97165">
              <w:marLeft w:val="0"/>
              <w:marRight w:val="0"/>
              <w:marTop w:val="0"/>
              <w:marBottom w:val="0"/>
              <w:divBdr>
                <w:top w:val="none" w:sz="0" w:space="0" w:color="auto"/>
                <w:left w:val="none" w:sz="0" w:space="0" w:color="auto"/>
                <w:bottom w:val="none" w:sz="0" w:space="0" w:color="auto"/>
                <w:right w:val="none" w:sz="0" w:space="0" w:color="auto"/>
              </w:divBdr>
              <w:divsChild>
                <w:div w:id="1103375944">
                  <w:marLeft w:val="0"/>
                  <w:marRight w:val="0"/>
                  <w:marTop w:val="0"/>
                  <w:marBottom w:val="0"/>
                  <w:divBdr>
                    <w:top w:val="none" w:sz="0" w:space="0" w:color="auto"/>
                    <w:left w:val="none" w:sz="0" w:space="0" w:color="auto"/>
                    <w:bottom w:val="none" w:sz="0" w:space="0" w:color="auto"/>
                    <w:right w:val="none" w:sz="0" w:space="0" w:color="auto"/>
                  </w:divBdr>
                  <w:divsChild>
                    <w:div w:id="1684210141">
                      <w:marLeft w:val="0"/>
                      <w:marRight w:val="0"/>
                      <w:marTop w:val="0"/>
                      <w:marBottom w:val="0"/>
                      <w:divBdr>
                        <w:top w:val="none" w:sz="0" w:space="0" w:color="auto"/>
                        <w:left w:val="none" w:sz="0" w:space="0" w:color="auto"/>
                        <w:bottom w:val="none" w:sz="0" w:space="0" w:color="auto"/>
                        <w:right w:val="none" w:sz="0" w:space="0" w:color="auto"/>
                      </w:divBdr>
                    </w:div>
                    <w:div w:id="2520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20599">
          <w:marLeft w:val="0"/>
          <w:marRight w:val="0"/>
          <w:marTop w:val="0"/>
          <w:marBottom w:val="0"/>
          <w:divBdr>
            <w:top w:val="none" w:sz="0" w:space="0" w:color="auto"/>
            <w:left w:val="none" w:sz="0" w:space="0" w:color="auto"/>
            <w:bottom w:val="none" w:sz="0" w:space="0" w:color="auto"/>
            <w:right w:val="none" w:sz="0" w:space="0" w:color="auto"/>
          </w:divBdr>
          <w:divsChild>
            <w:div w:id="1137916553">
              <w:marLeft w:val="0"/>
              <w:marRight w:val="0"/>
              <w:marTop w:val="0"/>
              <w:marBottom w:val="0"/>
              <w:divBdr>
                <w:top w:val="none" w:sz="0" w:space="0" w:color="auto"/>
                <w:left w:val="none" w:sz="0" w:space="0" w:color="auto"/>
                <w:bottom w:val="none" w:sz="0" w:space="0" w:color="auto"/>
                <w:right w:val="none" w:sz="0" w:space="0" w:color="auto"/>
              </w:divBdr>
              <w:divsChild>
                <w:div w:id="877161168">
                  <w:marLeft w:val="0"/>
                  <w:marRight w:val="0"/>
                  <w:marTop w:val="0"/>
                  <w:marBottom w:val="0"/>
                  <w:divBdr>
                    <w:top w:val="none" w:sz="0" w:space="0" w:color="auto"/>
                    <w:left w:val="none" w:sz="0" w:space="0" w:color="auto"/>
                    <w:bottom w:val="none" w:sz="0" w:space="0" w:color="auto"/>
                    <w:right w:val="none" w:sz="0" w:space="0" w:color="auto"/>
                  </w:divBdr>
                  <w:divsChild>
                    <w:div w:id="910580563">
                      <w:marLeft w:val="0"/>
                      <w:marRight w:val="0"/>
                      <w:marTop w:val="0"/>
                      <w:marBottom w:val="0"/>
                      <w:divBdr>
                        <w:top w:val="none" w:sz="0" w:space="0" w:color="auto"/>
                        <w:left w:val="none" w:sz="0" w:space="0" w:color="auto"/>
                        <w:bottom w:val="none" w:sz="0" w:space="0" w:color="auto"/>
                        <w:right w:val="none" w:sz="0" w:space="0" w:color="auto"/>
                      </w:divBdr>
                    </w:div>
                    <w:div w:id="85992748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72631524">
              <w:marLeft w:val="0"/>
              <w:marRight w:val="0"/>
              <w:marTop w:val="0"/>
              <w:marBottom w:val="0"/>
              <w:divBdr>
                <w:top w:val="none" w:sz="0" w:space="0" w:color="auto"/>
                <w:left w:val="none" w:sz="0" w:space="0" w:color="auto"/>
                <w:bottom w:val="none" w:sz="0" w:space="0" w:color="auto"/>
                <w:right w:val="none" w:sz="0" w:space="0" w:color="auto"/>
              </w:divBdr>
              <w:divsChild>
                <w:div w:id="1751850604">
                  <w:marLeft w:val="0"/>
                  <w:marRight w:val="0"/>
                  <w:marTop w:val="0"/>
                  <w:marBottom w:val="0"/>
                  <w:divBdr>
                    <w:top w:val="none" w:sz="0" w:space="0" w:color="auto"/>
                    <w:left w:val="none" w:sz="0" w:space="0" w:color="auto"/>
                    <w:bottom w:val="none" w:sz="0" w:space="0" w:color="auto"/>
                    <w:right w:val="none" w:sz="0" w:space="0" w:color="auto"/>
                  </w:divBdr>
                  <w:divsChild>
                    <w:div w:id="11607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0925">
              <w:marLeft w:val="0"/>
              <w:marRight w:val="0"/>
              <w:marTop w:val="0"/>
              <w:marBottom w:val="0"/>
              <w:divBdr>
                <w:top w:val="none" w:sz="0" w:space="0" w:color="auto"/>
                <w:left w:val="none" w:sz="0" w:space="0" w:color="auto"/>
                <w:bottom w:val="none" w:sz="0" w:space="0" w:color="auto"/>
                <w:right w:val="none" w:sz="0" w:space="0" w:color="auto"/>
              </w:divBdr>
              <w:divsChild>
                <w:div w:id="790705797">
                  <w:marLeft w:val="0"/>
                  <w:marRight w:val="0"/>
                  <w:marTop w:val="0"/>
                  <w:marBottom w:val="0"/>
                  <w:divBdr>
                    <w:top w:val="none" w:sz="0" w:space="0" w:color="auto"/>
                    <w:left w:val="none" w:sz="0" w:space="0" w:color="auto"/>
                    <w:bottom w:val="none" w:sz="0" w:space="0" w:color="auto"/>
                    <w:right w:val="none" w:sz="0" w:space="0" w:color="auto"/>
                  </w:divBdr>
                  <w:divsChild>
                    <w:div w:id="1070618328">
                      <w:marLeft w:val="0"/>
                      <w:marRight w:val="0"/>
                      <w:marTop w:val="0"/>
                      <w:marBottom w:val="0"/>
                      <w:divBdr>
                        <w:top w:val="none" w:sz="0" w:space="0" w:color="auto"/>
                        <w:left w:val="none" w:sz="0" w:space="0" w:color="auto"/>
                        <w:bottom w:val="none" w:sz="0" w:space="0" w:color="auto"/>
                        <w:right w:val="none" w:sz="0" w:space="0" w:color="auto"/>
                      </w:divBdr>
                    </w:div>
                    <w:div w:id="106989028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65466509">
              <w:marLeft w:val="0"/>
              <w:marRight w:val="0"/>
              <w:marTop w:val="0"/>
              <w:marBottom w:val="0"/>
              <w:divBdr>
                <w:top w:val="none" w:sz="0" w:space="0" w:color="auto"/>
                <w:left w:val="none" w:sz="0" w:space="0" w:color="auto"/>
                <w:bottom w:val="none" w:sz="0" w:space="0" w:color="auto"/>
                <w:right w:val="none" w:sz="0" w:space="0" w:color="auto"/>
              </w:divBdr>
              <w:divsChild>
                <w:div w:id="1460301774">
                  <w:marLeft w:val="0"/>
                  <w:marRight w:val="0"/>
                  <w:marTop w:val="0"/>
                  <w:marBottom w:val="0"/>
                  <w:divBdr>
                    <w:top w:val="none" w:sz="0" w:space="0" w:color="auto"/>
                    <w:left w:val="none" w:sz="0" w:space="0" w:color="auto"/>
                    <w:bottom w:val="none" w:sz="0" w:space="0" w:color="auto"/>
                    <w:right w:val="none" w:sz="0" w:space="0" w:color="auto"/>
                  </w:divBdr>
                  <w:divsChild>
                    <w:div w:id="3912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6029">
              <w:marLeft w:val="0"/>
              <w:marRight w:val="0"/>
              <w:marTop w:val="0"/>
              <w:marBottom w:val="0"/>
              <w:divBdr>
                <w:top w:val="none" w:sz="0" w:space="0" w:color="auto"/>
                <w:left w:val="none" w:sz="0" w:space="0" w:color="auto"/>
                <w:bottom w:val="none" w:sz="0" w:space="0" w:color="auto"/>
                <w:right w:val="none" w:sz="0" w:space="0" w:color="auto"/>
              </w:divBdr>
              <w:divsChild>
                <w:div w:id="841553648">
                  <w:marLeft w:val="0"/>
                  <w:marRight w:val="0"/>
                  <w:marTop w:val="0"/>
                  <w:marBottom w:val="0"/>
                  <w:divBdr>
                    <w:top w:val="none" w:sz="0" w:space="0" w:color="auto"/>
                    <w:left w:val="none" w:sz="0" w:space="0" w:color="auto"/>
                    <w:bottom w:val="none" w:sz="0" w:space="0" w:color="auto"/>
                    <w:right w:val="none" w:sz="0" w:space="0" w:color="auto"/>
                  </w:divBdr>
                  <w:divsChild>
                    <w:div w:id="1121723670">
                      <w:marLeft w:val="0"/>
                      <w:marRight w:val="0"/>
                      <w:marTop w:val="0"/>
                      <w:marBottom w:val="0"/>
                      <w:divBdr>
                        <w:top w:val="none" w:sz="0" w:space="0" w:color="auto"/>
                        <w:left w:val="none" w:sz="0" w:space="0" w:color="auto"/>
                        <w:bottom w:val="none" w:sz="0" w:space="0" w:color="auto"/>
                        <w:right w:val="none" w:sz="0" w:space="0" w:color="auto"/>
                      </w:divBdr>
                    </w:div>
                    <w:div w:id="164030505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6900265">
              <w:marLeft w:val="0"/>
              <w:marRight w:val="0"/>
              <w:marTop w:val="0"/>
              <w:marBottom w:val="0"/>
              <w:divBdr>
                <w:top w:val="none" w:sz="0" w:space="0" w:color="auto"/>
                <w:left w:val="none" w:sz="0" w:space="0" w:color="auto"/>
                <w:bottom w:val="none" w:sz="0" w:space="0" w:color="auto"/>
                <w:right w:val="none" w:sz="0" w:space="0" w:color="auto"/>
              </w:divBdr>
              <w:divsChild>
                <w:div w:id="1833639331">
                  <w:marLeft w:val="0"/>
                  <w:marRight w:val="0"/>
                  <w:marTop w:val="0"/>
                  <w:marBottom w:val="0"/>
                  <w:divBdr>
                    <w:top w:val="none" w:sz="0" w:space="0" w:color="auto"/>
                    <w:left w:val="none" w:sz="0" w:space="0" w:color="auto"/>
                    <w:bottom w:val="none" w:sz="0" w:space="0" w:color="auto"/>
                    <w:right w:val="none" w:sz="0" w:space="0" w:color="auto"/>
                  </w:divBdr>
                  <w:divsChild>
                    <w:div w:id="29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3160">
              <w:marLeft w:val="0"/>
              <w:marRight w:val="0"/>
              <w:marTop w:val="0"/>
              <w:marBottom w:val="0"/>
              <w:divBdr>
                <w:top w:val="none" w:sz="0" w:space="0" w:color="auto"/>
                <w:left w:val="none" w:sz="0" w:space="0" w:color="auto"/>
                <w:bottom w:val="none" w:sz="0" w:space="0" w:color="auto"/>
                <w:right w:val="none" w:sz="0" w:space="0" w:color="auto"/>
              </w:divBdr>
              <w:divsChild>
                <w:div w:id="130482779">
                  <w:marLeft w:val="0"/>
                  <w:marRight w:val="0"/>
                  <w:marTop w:val="0"/>
                  <w:marBottom w:val="0"/>
                  <w:divBdr>
                    <w:top w:val="none" w:sz="0" w:space="0" w:color="auto"/>
                    <w:left w:val="none" w:sz="0" w:space="0" w:color="auto"/>
                    <w:bottom w:val="none" w:sz="0" w:space="0" w:color="auto"/>
                    <w:right w:val="none" w:sz="0" w:space="0" w:color="auto"/>
                  </w:divBdr>
                  <w:divsChild>
                    <w:div w:id="1353415290">
                      <w:marLeft w:val="0"/>
                      <w:marRight w:val="0"/>
                      <w:marTop w:val="0"/>
                      <w:marBottom w:val="0"/>
                      <w:divBdr>
                        <w:top w:val="none" w:sz="0" w:space="0" w:color="auto"/>
                        <w:left w:val="none" w:sz="0" w:space="0" w:color="auto"/>
                        <w:bottom w:val="none" w:sz="0" w:space="0" w:color="auto"/>
                        <w:right w:val="none" w:sz="0" w:space="0" w:color="auto"/>
                      </w:divBdr>
                    </w:div>
                    <w:div w:id="11593508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55828788">
              <w:marLeft w:val="0"/>
              <w:marRight w:val="0"/>
              <w:marTop w:val="0"/>
              <w:marBottom w:val="0"/>
              <w:divBdr>
                <w:top w:val="none" w:sz="0" w:space="0" w:color="auto"/>
                <w:left w:val="none" w:sz="0" w:space="0" w:color="auto"/>
                <w:bottom w:val="none" w:sz="0" w:space="0" w:color="auto"/>
                <w:right w:val="none" w:sz="0" w:space="0" w:color="auto"/>
              </w:divBdr>
              <w:divsChild>
                <w:div w:id="1256204742">
                  <w:marLeft w:val="0"/>
                  <w:marRight w:val="0"/>
                  <w:marTop w:val="0"/>
                  <w:marBottom w:val="0"/>
                  <w:divBdr>
                    <w:top w:val="none" w:sz="0" w:space="0" w:color="auto"/>
                    <w:left w:val="none" w:sz="0" w:space="0" w:color="auto"/>
                    <w:bottom w:val="none" w:sz="0" w:space="0" w:color="auto"/>
                    <w:right w:val="none" w:sz="0" w:space="0" w:color="auto"/>
                  </w:divBdr>
                  <w:divsChild>
                    <w:div w:id="11722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8997">
              <w:marLeft w:val="0"/>
              <w:marRight w:val="0"/>
              <w:marTop w:val="0"/>
              <w:marBottom w:val="0"/>
              <w:divBdr>
                <w:top w:val="none" w:sz="0" w:space="0" w:color="auto"/>
                <w:left w:val="none" w:sz="0" w:space="0" w:color="auto"/>
                <w:bottom w:val="none" w:sz="0" w:space="0" w:color="auto"/>
                <w:right w:val="none" w:sz="0" w:space="0" w:color="auto"/>
              </w:divBdr>
              <w:divsChild>
                <w:div w:id="235743820">
                  <w:marLeft w:val="0"/>
                  <w:marRight w:val="0"/>
                  <w:marTop w:val="0"/>
                  <w:marBottom w:val="0"/>
                  <w:divBdr>
                    <w:top w:val="none" w:sz="0" w:space="0" w:color="auto"/>
                    <w:left w:val="none" w:sz="0" w:space="0" w:color="auto"/>
                    <w:bottom w:val="none" w:sz="0" w:space="0" w:color="auto"/>
                    <w:right w:val="none" w:sz="0" w:space="0" w:color="auto"/>
                  </w:divBdr>
                  <w:divsChild>
                    <w:div w:id="1186090377">
                      <w:marLeft w:val="0"/>
                      <w:marRight w:val="0"/>
                      <w:marTop w:val="0"/>
                      <w:marBottom w:val="0"/>
                      <w:divBdr>
                        <w:top w:val="none" w:sz="0" w:space="0" w:color="auto"/>
                        <w:left w:val="none" w:sz="0" w:space="0" w:color="auto"/>
                        <w:bottom w:val="none" w:sz="0" w:space="0" w:color="auto"/>
                        <w:right w:val="none" w:sz="0" w:space="0" w:color="auto"/>
                      </w:divBdr>
                    </w:div>
                    <w:div w:id="23347118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29110351">
              <w:marLeft w:val="0"/>
              <w:marRight w:val="0"/>
              <w:marTop w:val="0"/>
              <w:marBottom w:val="0"/>
              <w:divBdr>
                <w:top w:val="none" w:sz="0" w:space="0" w:color="auto"/>
                <w:left w:val="none" w:sz="0" w:space="0" w:color="auto"/>
                <w:bottom w:val="none" w:sz="0" w:space="0" w:color="auto"/>
                <w:right w:val="none" w:sz="0" w:space="0" w:color="auto"/>
              </w:divBdr>
              <w:divsChild>
                <w:div w:id="1604731016">
                  <w:marLeft w:val="0"/>
                  <w:marRight w:val="0"/>
                  <w:marTop w:val="0"/>
                  <w:marBottom w:val="0"/>
                  <w:divBdr>
                    <w:top w:val="none" w:sz="0" w:space="0" w:color="auto"/>
                    <w:left w:val="none" w:sz="0" w:space="0" w:color="auto"/>
                    <w:bottom w:val="none" w:sz="0" w:space="0" w:color="auto"/>
                    <w:right w:val="none" w:sz="0" w:space="0" w:color="auto"/>
                  </w:divBdr>
                  <w:divsChild>
                    <w:div w:id="11745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18009">
      <w:bodyDiv w:val="1"/>
      <w:marLeft w:val="0"/>
      <w:marRight w:val="0"/>
      <w:marTop w:val="0"/>
      <w:marBottom w:val="0"/>
      <w:divBdr>
        <w:top w:val="none" w:sz="0" w:space="0" w:color="auto"/>
        <w:left w:val="none" w:sz="0" w:space="0" w:color="auto"/>
        <w:bottom w:val="none" w:sz="0" w:space="0" w:color="auto"/>
        <w:right w:val="none" w:sz="0" w:space="0" w:color="auto"/>
      </w:divBdr>
    </w:div>
    <w:div w:id="1791127951">
      <w:bodyDiv w:val="1"/>
      <w:marLeft w:val="0"/>
      <w:marRight w:val="0"/>
      <w:marTop w:val="0"/>
      <w:marBottom w:val="0"/>
      <w:divBdr>
        <w:top w:val="none" w:sz="0" w:space="0" w:color="auto"/>
        <w:left w:val="none" w:sz="0" w:space="0" w:color="auto"/>
        <w:bottom w:val="none" w:sz="0" w:space="0" w:color="auto"/>
        <w:right w:val="none" w:sz="0" w:space="0" w:color="auto"/>
      </w:divBdr>
      <w:divsChild>
        <w:div w:id="2074040282">
          <w:marLeft w:val="0"/>
          <w:marRight w:val="0"/>
          <w:marTop w:val="0"/>
          <w:marBottom w:val="0"/>
          <w:divBdr>
            <w:top w:val="none" w:sz="0" w:space="0" w:color="auto"/>
            <w:left w:val="none" w:sz="0" w:space="0" w:color="auto"/>
            <w:bottom w:val="none" w:sz="0" w:space="0" w:color="auto"/>
            <w:right w:val="none" w:sz="0" w:space="0" w:color="auto"/>
          </w:divBdr>
          <w:divsChild>
            <w:div w:id="2031028074">
              <w:marLeft w:val="0"/>
              <w:marRight w:val="0"/>
              <w:marTop w:val="0"/>
              <w:marBottom w:val="0"/>
              <w:divBdr>
                <w:top w:val="none" w:sz="0" w:space="0" w:color="auto"/>
                <w:left w:val="none" w:sz="0" w:space="0" w:color="auto"/>
                <w:bottom w:val="none" w:sz="0" w:space="0" w:color="auto"/>
                <w:right w:val="none" w:sz="0" w:space="0" w:color="auto"/>
              </w:divBdr>
              <w:divsChild>
                <w:div w:id="1555431871">
                  <w:marLeft w:val="0"/>
                  <w:marRight w:val="0"/>
                  <w:marTop w:val="0"/>
                  <w:marBottom w:val="0"/>
                  <w:divBdr>
                    <w:top w:val="none" w:sz="0" w:space="0" w:color="auto"/>
                    <w:left w:val="none" w:sz="0" w:space="0" w:color="auto"/>
                    <w:bottom w:val="none" w:sz="0" w:space="0" w:color="auto"/>
                    <w:right w:val="none" w:sz="0" w:space="0" w:color="auto"/>
                  </w:divBdr>
                  <w:divsChild>
                    <w:div w:id="2052725794">
                      <w:marLeft w:val="0"/>
                      <w:marRight w:val="0"/>
                      <w:marTop w:val="0"/>
                      <w:marBottom w:val="0"/>
                      <w:divBdr>
                        <w:top w:val="none" w:sz="0" w:space="0" w:color="auto"/>
                        <w:left w:val="none" w:sz="0" w:space="0" w:color="auto"/>
                        <w:bottom w:val="none" w:sz="0" w:space="0" w:color="auto"/>
                        <w:right w:val="none" w:sz="0" w:space="0" w:color="auto"/>
                      </w:divBdr>
                      <w:divsChild>
                        <w:div w:id="1356466436">
                          <w:marLeft w:val="0"/>
                          <w:marRight w:val="0"/>
                          <w:marTop w:val="0"/>
                          <w:marBottom w:val="0"/>
                          <w:divBdr>
                            <w:top w:val="none" w:sz="0" w:space="0" w:color="auto"/>
                            <w:left w:val="none" w:sz="0" w:space="0" w:color="auto"/>
                            <w:bottom w:val="none" w:sz="0" w:space="0" w:color="auto"/>
                            <w:right w:val="none" w:sz="0" w:space="0" w:color="auto"/>
                          </w:divBdr>
                          <w:divsChild>
                            <w:div w:id="1551335091">
                              <w:marLeft w:val="0"/>
                              <w:marRight w:val="0"/>
                              <w:marTop w:val="0"/>
                              <w:marBottom w:val="0"/>
                              <w:divBdr>
                                <w:top w:val="none" w:sz="0" w:space="0" w:color="auto"/>
                                <w:left w:val="none" w:sz="0" w:space="0" w:color="auto"/>
                                <w:bottom w:val="none" w:sz="0" w:space="0" w:color="auto"/>
                                <w:right w:val="none" w:sz="0" w:space="0" w:color="auto"/>
                              </w:divBdr>
                              <w:divsChild>
                                <w:div w:id="77754248">
                                  <w:marLeft w:val="0"/>
                                  <w:marRight w:val="0"/>
                                  <w:marTop w:val="0"/>
                                  <w:marBottom w:val="0"/>
                                  <w:divBdr>
                                    <w:top w:val="none" w:sz="0" w:space="0" w:color="auto"/>
                                    <w:left w:val="none" w:sz="0" w:space="0" w:color="auto"/>
                                    <w:bottom w:val="none" w:sz="0" w:space="0" w:color="auto"/>
                                    <w:right w:val="none" w:sz="0" w:space="0" w:color="auto"/>
                                  </w:divBdr>
                                  <w:divsChild>
                                    <w:div w:id="916863534">
                                      <w:marLeft w:val="0"/>
                                      <w:marRight w:val="0"/>
                                      <w:marTop w:val="0"/>
                                      <w:marBottom w:val="0"/>
                                      <w:divBdr>
                                        <w:top w:val="none" w:sz="0" w:space="0" w:color="auto"/>
                                        <w:left w:val="none" w:sz="0" w:space="0" w:color="auto"/>
                                        <w:bottom w:val="none" w:sz="0" w:space="0" w:color="auto"/>
                                        <w:right w:val="none" w:sz="0" w:space="0" w:color="auto"/>
                                      </w:divBdr>
                                    </w:div>
                                    <w:div w:id="1462310170">
                                      <w:marLeft w:val="0"/>
                                      <w:marRight w:val="0"/>
                                      <w:marTop w:val="0"/>
                                      <w:marBottom w:val="0"/>
                                      <w:divBdr>
                                        <w:top w:val="none" w:sz="0" w:space="0" w:color="auto"/>
                                        <w:left w:val="none" w:sz="0" w:space="0" w:color="auto"/>
                                        <w:bottom w:val="none" w:sz="0" w:space="0" w:color="auto"/>
                                        <w:right w:val="none" w:sz="0" w:space="0" w:color="auto"/>
                                      </w:divBdr>
                                      <w:divsChild>
                                        <w:div w:id="95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35903">
                                  <w:marLeft w:val="0"/>
                                  <w:marRight w:val="0"/>
                                  <w:marTop w:val="0"/>
                                  <w:marBottom w:val="0"/>
                                  <w:divBdr>
                                    <w:top w:val="none" w:sz="0" w:space="0" w:color="auto"/>
                                    <w:left w:val="none" w:sz="0" w:space="0" w:color="auto"/>
                                    <w:bottom w:val="none" w:sz="0" w:space="0" w:color="auto"/>
                                    <w:right w:val="none" w:sz="0" w:space="0" w:color="auto"/>
                                  </w:divBdr>
                                  <w:divsChild>
                                    <w:div w:id="1294865766">
                                      <w:marLeft w:val="0"/>
                                      <w:marRight w:val="0"/>
                                      <w:marTop w:val="0"/>
                                      <w:marBottom w:val="0"/>
                                      <w:divBdr>
                                        <w:top w:val="none" w:sz="0" w:space="0" w:color="auto"/>
                                        <w:left w:val="none" w:sz="0" w:space="0" w:color="auto"/>
                                        <w:bottom w:val="none" w:sz="0" w:space="0" w:color="auto"/>
                                        <w:right w:val="none" w:sz="0" w:space="0" w:color="auto"/>
                                      </w:divBdr>
                                    </w:div>
                                    <w:div w:id="2054839654">
                                      <w:marLeft w:val="0"/>
                                      <w:marRight w:val="0"/>
                                      <w:marTop w:val="0"/>
                                      <w:marBottom w:val="0"/>
                                      <w:divBdr>
                                        <w:top w:val="none" w:sz="0" w:space="0" w:color="auto"/>
                                        <w:left w:val="none" w:sz="0" w:space="0" w:color="auto"/>
                                        <w:bottom w:val="none" w:sz="0" w:space="0" w:color="auto"/>
                                        <w:right w:val="none" w:sz="0" w:space="0" w:color="auto"/>
                                      </w:divBdr>
                                      <w:divsChild>
                                        <w:div w:id="1274094174">
                                          <w:marLeft w:val="0"/>
                                          <w:marRight w:val="0"/>
                                          <w:marTop w:val="0"/>
                                          <w:marBottom w:val="0"/>
                                          <w:divBdr>
                                            <w:top w:val="none" w:sz="0" w:space="0" w:color="auto"/>
                                            <w:left w:val="none" w:sz="0" w:space="0" w:color="auto"/>
                                            <w:bottom w:val="none" w:sz="0" w:space="0" w:color="auto"/>
                                            <w:right w:val="none" w:sz="0" w:space="0" w:color="auto"/>
                                          </w:divBdr>
                                          <w:divsChild>
                                            <w:div w:id="1240943743">
                                              <w:marLeft w:val="0"/>
                                              <w:marRight w:val="0"/>
                                              <w:marTop w:val="0"/>
                                              <w:marBottom w:val="0"/>
                                              <w:divBdr>
                                                <w:top w:val="none" w:sz="0" w:space="0" w:color="auto"/>
                                                <w:left w:val="none" w:sz="0" w:space="0" w:color="auto"/>
                                                <w:bottom w:val="none" w:sz="0" w:space="0" w:color="auto"/>
                                                <w:right w:val="none" w:sz="0" w:space="0" w:color="auto"/>
                                              </w:divBdr>
                                            </w:div>
                                          </w:divsChild>
                                        </w:div>
                                        <w:div w:id="18888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3660">
                                  <w:marLeft w:val="0"/>
                                  <w:marRight w:val="0"/>
                                  <w:marTop w:val="0"/>
                                  <w:marBottom w:val="0"/>
                                  <w:divBdr>
                                    <w:top w:val="none" w:sz="0" w:space="0" w:color="auto"/>
                                    <w:left w:val="none" w:sz="0" w:space="0" w:color="auto"/>
                                    <w:bottom w:val="none" w:sz="0" w:space="0" w:color="auto"/>
                                    <w:right w:val="none" w:sz="0" w:space="0" w:color="auto"/>
                                  </w:divBdr>
                                  <w:divsChild>
                                    <w:div w:id="141166774">
                                      <w:marLeft w:val="0"/>
                                      <w:marRight w:val="0"/>
                                      <w:marTop w:val="0"/>
                                      <w:marBottom w:val="0"/>
                                      <w:divBdr>
                                        <w:top w:val="none" w:sz="0" w:space="0" w:color="auto"/>
                                        <w:left w:val="none" w:sz="0" w:space="0" w:color="auto"/>
                                        <w:bottom w:val="none" w:sz="0" w:space="0" w:color="auto"/>
                                        <w:right w:val="none" w:sz="0" w:space="0" w:color="auto"/>
                                      </w:divBdr>
                                      <w:divsChild>
                                        <w:div w:id="1011103421">
                                          <w:marLeft w:val="0"/>
                                          <w:marRight w:val="0"/>
                                          <w:marTop w:val="0"/>
                                          <w:marBottom w:val="0"/>
                                          <w:divBdr>
                                            <w:top w:val="none" w:sz="0" w:space="0" w:color="auto"/>
                                            <w:left w:val="none" w:sz="0" w:space="0" w:color="auto"/>
                                            <w:bottom w:val="none" w:sz="0" w:space="0" w:color="auto"/>
                                            <w:right w:val="none" w:sz="0" w:space="0" w:color="auto"/>
                                          </w:divBdr>
                                          <w:divsChild>
                                            <w:div w:id="153113144">
                                              <w:marLeft w:val="0"/>
                                              <w:marRight w:val="0"/>
                                              <w:marTop w:val="0"/>
                                              <w:marBottom w:val="0"/>
                                              <w:divBdr>
                                                <w:top w:val="none" w:sz="0" w:space="0" w:color="auto"/>
                                                <w:left w:val="none" w:sz="0" w:space="0" w:color="auto"/>
                                                <w:bottom w:val="none" w:sz="0" w:space="0" w:color="auto"/>
                                                <w:right w:val="none" w:sz="0" w:space="0" w:color="auto"/>
                                              </w:divBdr>
                                            </w:div>
                                          </w:divsChild>
                                        </w:div>
                                        <w:div w:id="1524397631">
                                          <w:marLeft w:val="0"/>
                                          <w:marRight w:val="0"/>
                                          <w:marTop w:val="0"/>
                                          <w:marBottom w:val="0"/>
                                          <w:divBdr>
                                            <w:top w:val="none" w:sz="0" w:space="0" w:color="auto"/>
                                            <w:left w:val="none" w:sz="0" w:space="0" w:color="auto"/>
                                            <w:bottom w:val="none" w:sz="0" w:space="0" w:color="auto"/>
                                            <w:right w:val="none" w:sz="0" w:space="0" w:color="auto"/>
                                          </w:divBdr>
                                        </w:div>
                                      </w:divsChild>
                                    </w:div>
                                    <w:div w:id="759788458">
                                      <w:marLeft w:val="0"/>
                                      <w:marRight w:val="0"/>
                                      <w:marTop w:val="0"/>
                                      <w:marBottom w:val="0"/>
                                      <w:divBdr>
                                        <w:top w:val="none" w:sz="0" w:space="0" w:color="auto"/>
                                        <w:left w:val="none" w:sz="0" w:space="0" w:color="auto"/>
                                        <w:bottom w:val="none" w:sz="0" w:space="0" w:color="auto"/>
                                        <w:right w:val="none" w:sz="0" w:space="0" w:color="auto"/>
                                      </w:divBdr>
                                    </w:div>
                                  </w:divsChild>
                                </w:div>
                                <w:div w:id="739716039">
                                  <w:marLeft w:val="0"/>
                                  <w:marRight w:val="0"/>
                                  <w:marTop w:val="0"/>
                                  <w:marBottom w:val="0"/>
                                  <w:divBdr>
                                    <w:top w:val="none" w:sz="0" w:space="0" w:color="auto"/>
                                    <w:left w:val="none" w:sz="0" w:space="0" w:color="auto"/>
                                    <w:bottom w:val="none" w:sz="0" w:space="0" w:color="auto"/>
                                    <w:right w:val="none" w:sz="0" w:space="0" w:color="auto"/>
                                  </w:divBdr>
                                  <w:divsChild>
                                    <w:div w:id="531456118">
                                      <w:marLeft w:val="0"/>
                                      <w:marRight w:val="0"/>
                                      <w:marTop w:val="0"/>
                                      <w:marBottom w:val="0"/>
                                      <w:divBdr>
                                        <w:top w:val="none" w:sz="0" w:space="0" w:color="auto"/>
                                        <w:left w:val="none" w:sz="0" w:space="0" w:color="auto"/>
                                        <w:bottom w:val="none" w:sz="0" w:space="0" w:color="auto"/>
                                        <w:right w:val="none" w:sz="0" w:space="0" w:color="auto"/>
                                      </w:divBdr>
                                      <w:divsChild>
                                        <w:div w:id="601032057">
                                          <w:marLeft w:val="0"/>
                                          <w:marRight w:val="0"/>
                                          <w:marTop w:val="0"/>
                                          <w:marBottom w:val="0"/>
                                          <w:divBdr>
                                            <w:top w:val="none" w:sz="0" w:space="0" w:color="auto"/>
                                            <w:left w:val="none" w:sz="0" w:space="0" w:color="auto"/>
                                            <w:bottom w:val="none" w:sz="0" w:space="0" w:color="auto"/>
                                            <w:right w:val="none" w:sz="0" w:space="0" w:color="auto"/>
                                          </w:divBdr>
                                        </w:div>
                                        <w:div w:id="866337080">
                                          <w:marLeft w:val="0"/>
                                          <w:marRight w:val="0"/>
                                          <w:marTop w:val="0"/>
                                          <w:marBottom w:val="0"/>
                                          <w:divBdr>
                                            <w:top w:val="none" w:sz="0" w:space="0" w:color="auto"/>
                                            <w:left w:val="none" w:sz="0" w:space="0" w:color="auto"/>
                                            <w:bottom w:val="none" w:sz="0" w:space="0" w:color="auto"/>
                                            <w:right w:val="none" w:sz="0" w:space="0" w:color="auto"/>
                                          </w:divBdr>
                                          <w:divsChild>
                                            <w:div w:id="20455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3378">
                                  <w:marLeft w:val="0"/>
                                  <w:marRight w:val="0"/>
                                  <w:marTop w:val="0"/>
                                  <w:marBottom w:val="0"/>
                                  <w:divBdr>
                                    <w:top w:val="none" w:sz="0" w:space="0" w:color="auto"/>
                                    <w:left w:val="none" w:sz="0" w:space="0" w:color="auto"/>
                                    <w:bottom w:val="none" w:sz="0" w:space="0" w:color="auto"/>
                                    <w:right w:val="none" w:sz="0" w:space="0" w:color="auto"/>
                                  </w:divBdr>
                                  <w:divsChild>
                                    <w:div w:id="1420760443">
                                      <w:marLeft w:val="0"/>
                                      <w:marRight w:val="0"/>
                                      <w:marTop w:val="0"/>
                                      <w:marBottom w:val="0"/>
                                      <w:divBdr>
                                        <w:top w:val="none" w:sz="0" w:space="0" w:color="auto"/>
                                        <w:left w:val="none" w:sz="0" w:space="0" w:color="auto"/>
                                        <w:bottom w:val="none" w:sz="0" w:space="0" w:color="auto"/>
                                        <w:right w:val="none" w:sz="0" w:space="0" w:color="auto"/>
                                      </w:divBdr>
                                    </w:div>
                                    <w:div w:id="1961572547">
                                      <w:marLeft w:val="0"/>
                                      <w:marRight w:val="0"/>
                                      <w:marTop w:val="0"/>
                                      <w:marBottom w:val="0"/>
                                      <w:divBdr>
                                        <w:top w:val="none" w:sz="0" w:space="0" w:color="auto"/>
                                        <w:left w:val="none" w:sz="0" w:space="0" w:color="auto"/>
                                        <w:bottom w:val="none" w:sz="0" w:space="0" w:color="auto"/>
                                        <w:right w:val="none" w:sz="0" w:space="0" w:color="auto"/>
                                      </w:divBdr>
                                      <w:divsChild>
                                        <w:div w:id="272518773">
                                          <w:marLeft w:val="0"/>
                                          <w:marRight w:val="0"/>
                                          <w:marTop w:val="0"/>
                                          <w:marBottom w:val="0"/>
                                          <w:divBdr>
                                            <w:top w:val="none" w:sz="0" w:space="0" w:color="auto"/>
                                            <w:left w:val="none" w:sz="0" w:space="0" w:color="auto"/>
                                            <w:bottom w:val="none" w:sz="0" w:space="0" w:color="auto"/>
                                            <w:right w:val="none" w:sz="0" w:space="0" w:color="auto"/>
                                          </w:divBdr>
                                        </w:div>
                                        <w:div w:id="1962833167">
                                          <w:marLeft w:val="0"/>
                                          <w:marRight w:val="0"/>
                                          <w:marTop w:val="0"/>
                                          <w:marBottom w:val="0"/>
                                          <w:divBdr>
                                            <w:top w:val="none" w:sz="0" w:space="0" w:color="auto"/>
                                            <w:left w:val="none" w:sz="0" w:space="0" w:color="auto"/>
                                            <w:bottom w:val="none" w:sz="0" w:space="0" w:color="auto"/>
                                            <w:right w:val="none" w:sz="0" w:space="0" w:color="auto"/>
                                          </w:divBdr>
                                          <w:divsChild>
                                            <w:div w:id="1773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8687">
                                  <w:marLeft w:val="0"/>
                                  <w:marRight w:val="0"/>
                                  <w:marTop w:val="0"/>
                                  <w:marBottom w:val="0"/>
                                  <w:divBdr>
                                    <w:top w:val="none" w:sz="0" w:space="0" w:color="auto"/>
                                    <w:left w:val="none" w:sz="0" w:space="0" w:color="auto"/>
                                    <w:bottom w:val="none" w:sz="0" w:space="0" w:color="auto"/>
                                    <w:right w:val="none" w:sz="0" w:space="0" w:color="auto"/>
                                  </w:divBdr>
                                  <w:divsChild>
                                    <w:div w:id="1133446179">
                                      <w:marLeft w:val="0"/>
                                      <w:marRight w:val="0"/>
                                      <w:marTop w:val="0"/>
                                      <w:marBottom w:val="0"/>
                                      <w:divBdr>
                                        <w:top w:val="none" w:sz="0" w:space="0" w:color="auto"/>
                                        <w:left w:val="none" w:sz="0" w:space="0" w:color="auto"/>
                                        <w:bottom w:val="none" w:sz="0" w:space="0" w:color="auto"/>
                                        <w:right w:val="none" w:sz="0" w:space="0" w:color="auto"/>
                                      </w:divBdr>
                                    </w:div>
                                    <w:div w:id="1567378633">
                                      <w:marLeft w:val="0"/>
                                      <w:marRight w:val="0"/>
                                      <w:marTop w:val="0"/>
                                      <w:marBottom w:val="0"/>
                                      <w:divBdr>
                                        <w:top w:val="none" w:sz="0" w:space="0" w:color="auto"/>
                                        <w:left w:val="none" w:sz="0" w:space="0" w:color="auto"/>
                                        <w:bottom w:val="none" w:sz="0" w:space="0" w:color="auto"/>
                                        <w:right w:val="none" w:sz="0" w:space="0" w:color="auto"/>
                                      </w:divBdr>
                                      <w:divsChild>
                                        <w:div w:id="322701795">
                                          <w:marLeft w:val="0"/>
                                          <w:marRight w:val="0"/>
                                          <w:marTop w:val="0"/>
                                          <w:marBottom w:val="0"/>
                                          <w:divBdr>
                                            <w:top w:val="none" w:sz="0" w:space="0" w:color="auto"/>
                                            <w:left w:val="none" w:sz="0" w:space="0" w:color="auto"/>
                                            <w:bottom w:val="none" w:sz="0" w:space="0" w:color="auto"/>
                                            <w:right w:val="none" w:sz="0" w:space="0" w:color="auto"/>
                                          </w:divBdr>
                                          <w:divsChild>
                                            <w:div w:id="176384218">
                                              <w:marLeft w:val="0"/>
                                              <w:marRight w:val="0"/>
                                              <w:marTop w:val="0"/>
                                              <w:marBottom w:val="0"/>
                                              <w:divBdr>
                                                <w:top w:val="none" w:sz="0" w:space="0" w:color="auto"/>
                                                <w:left w:val="none" w:sz="0" w:space="0" w:color="auto"/>
                                                <w:bottom w:val="none" w:sz="0" w:space="0" w:color="auto"/>
                                                <w:right w:val="none" w:sz="0" w:space="0" w:color="auto"/>
                                              </w:divBdr>
                                            </w:div>
                                          </w:divsChild>
                                        </w:div>
                                        <w:div w:id="7620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08505">
                                  <w:marLeft w:val="0"/>
                                  <w:marRight w:val="0"/>
                                  <w:marTop w:val="0"/>
                                  <w:marBottom w:val="0"/>
                                  <w:divBdr>
                                    <w:top w:val="none" w:sz="0" w:space="0" w:color="auto"/>
                                    <w:left w:val="none" w:sz="0" w:space="0" w:color="auto"/>
                                    <w:bottom w:val="none" w:sz="0" w:space="0" w:color="auto"/>
                                    <w:right w:val="none" w:sz="0" w:space="0" w:color="auto"/>
                                  </w:divBdr>
                                  <w:divsChild>
                                    <w:div w:id="1468663204">
                                      <w:marLeft w:val="0"/>
                                      <w:marRight w:val="0"/>
                                      <w:marTop w:val="0"/>
                                      <w:marBottom w:val="0"/>
                                      <w:divBdr>
                                        <w:top w:val="none" w:sz="0" w:space="0" w:color="auto"/>
                                        <w:left w:val="none" w:sz="0" w:space="0" w:color="auto"/>
                                        <w:bottom w:val="none" w:sz="0" w:space="0" w:color="auto"/>
                                        <w:right w:val="none" w:sz="0" w:space="0" w:color="auto"/>
                                      </w:divBdr>
                                      <w:divsChild>
                                        <w:div w:id="1164518044">
                                          <w:marLeft w:val="0"/>
                                          <w:marRight w:val="0"/>
                                          <w:marTop w:val="0"/>
                                          <w:marBottom w:val="0"/>
                                          <w:divBdr>
                                            <w:top w:val="none" w:sz="0" w:space="0" w:color="auto"/>
                                            <w:left w:val="none" w:sz="0" w:space="0" w:color="auto"/>
                                            <w:bottom w:val="none" w:sz="0" w:space="0" w:color="auto"/>
                                            <w:right w:val="none" w:sz="0" w:space="0" w:color="auto"/>
                                          </w:divBdr>
                                          <w:divsChild>
                                            <w:div w:id="849683317">
                                              <w:marLeft w:val="0"/>
                                              <w:marRight w:val="0"/>
                                              <w:marTop w:val="0"/>
                                              <w:marBottom w:val="0"/>
                                              <w:divBdr>
                                                <w:top w:val="none" w:sz="0" w:space="0" w:color="auto"/>
                                                <w:left w:val="none" w:sz="0" w:space="0" w:color="auto"/>
                                                <w:bottom w:val="none" w:sz="0" w:space="0" w:color="auto"/>
                                                <w:right w:val="none" w:sz="0" w:space="0" w:color="auto"/>
                                              </w:divBdr>
                                            </w:div>
                                          </w:divsChild>
                                        </w:div>
                                        <w:div w:id="1181630123">
                                          <w:marLeft w:val="0"/>
                                          <w:marRight w:val="0"/>
                                          <w:marTop w:val="0"/>
                                          <w:marBottom w:val="0"/>
                                          <w:divBdr>
                                            <w:top w:val="none" w:sz="0" w:space="0" w:color="auto"/>
                                            <w:left w:val="none" w:sz="0" w:space="0" w:color="auto"/>
                                            <w:bottom w:val="none" w:sz="0" w:space="0" w:color="auto"/>
                                            <w:right w:val="none" w:sz="0" w:space="0" w:color="auto"/>
                                          </w:divBdr>
                                        </w:div>
                                      </w:divsChild>
                                    </w:div>
                                    <w:div w:id="1479103532">
                                      <w:marLeft w:val="0"/>
                                      <w:marRight w:val="0"/>
                                      <w:marTop w:val="0"/>
                                      <w:marBottom w:val="0"/>
                                      <w:divBdr>
                                        <w:top w:val="none" w:sz="0" w:space="0" w:color="auto"/>
                                        <w:left w:val="none" w:sz="0" w:space="0" w:color="auto"/>
                                        <w:bottom w:val="none" w:sz="0" w:space="0" w:color="auto"/>
                                        <w:right w:val="none" w:sz="0" w:space="0" w:color="auto"/>
                                      </w:divBdr>
                                    </w:div>
                                  </w:divsChild>
                                </w:div>
                                <w:div w:id="1845440834">
                                  <w:marLeft w:val="0"/>
                                  <w:marRight w:val="0"/>
                                  <w:marTop w:val="0"/>
                                  <w:marBottom w:val="0"/>
                                  <w:divBdr>
                                    <w:top w:val="none" w:sz="0" w:space="0" w:color="auto"/>
                                    <w:left w:val="none" w:sz="0" w:space="0" w:color="auto"/>
                                    <w:bottom w:val="none" w:sz="0" w:space="0" w:color="auto"/>
                                    <w:right w:val="none" w:sz="0" w:space="0" w:color="auto"/>
                                  </w:divBdr>
                                  <w:divsChild>
                                    <w:div w:id="421417005">
                                      <w:marLeft w:val="0"/>
                                      <w:marRight w:val="0"/>
                                      <w:marTop w:val="0"/>
                                      <w:marBottom w:val="0"/>
                                      <w:divBdr>
                                        <w:top w:val="none" w:sz="0" w:space="0" w:color="auto"/>
                                        <w:left w:val="none" w:sz="0" w:space="0" w:color="auto"/>
                                        <w:bottom w:val="none" w:sz="0" w:space="0" w:color="auto"/>
                                        <w:right w:val="none" w:sz="0" w:space="0" w:color="auto"/>
                                      </w:divBdr>
                                      <w:divsChild>
                                        <w:div w:id="525757490">
                                          <w:marLeft w:val="0"/>
                                          <w:marRight w:val="0"/>
                                          <w:marTop w:val="0"/>
                                          <w:marBottom w:val="0"/>
                                          <w:divBdr>
                                            <w:top w:val="none" w:sz="0" w:space="0" w:color="auto"/>
                                            <w:left w:val="none" w:sz="0" w:space="0" w:color="auto"/>
                                            <w:bottom w:val="none" w:sz="0" w:space="0" w:color="auto"/>
                                            <w:right w:val="none" w:sz="0" w:space="0" w:color="auto"/>
                                          </w:divBdr>
                                        </w:div>
                                        <w:div w:id="1142037733">
                                          <w:marLeft w:val="0"/>
                                          <w:marRight w:val="0"/>
                                          <w:marTop w:val="0"/>
                                          <w:marBottom w:val="0"/>
                                          <w:divBdr>
                                            <w:top w:val="none" w:sz="0" w:space="0" w:color="auto"/>
                                            <w:left w:val="none" w:sz="0" w:space="0" w:color="auto"/>
                                            <w:bottom w:val="none" w:sz="0" w:space="0" w:color="auto"/>
                                            <w:right w:val="none" w:sz="0" w:space="0" w:color="auto"/>
                                          </w:divBdr>
                                          <w:divsChild>
                                            <w:div w:id="14753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3263">
                                      <w:marLeft w:val="0"/>
                                      <w:marRight w:val="0"/>
                                      <w:marTop w:val="0"/>
                                      <w:marBottom w:val="0"/>
                                      <w:divBdr>
                                        <w:top w:val="none" w:sz="0" w:space="0" w:color="auto"/>
                                        <w:left w:val="none" w:sz="0" w:space="0" w:color="auto"/>
                                        <w:bottom w:val="none" w:sz="0" w:space="0" w:color="auto"/>
                                        <w:right w:val="none" w:sz="0" w:space="0" w:color="auto"/>
                                      </w:divBdr>
                                    </w:div>
                                  </w:divsChild>
                                </w:div>
                                <w:div w:id="2099788322">
                                  <w:marLeft w:val="0"/>
                                  <w:marRight w:val="0"/>
                                  <w:marTop w:val="0"/>
                                  <w:marBottom w:val="0"/>
                                  <w:divBdr>
                                    <w:top w:val="none" w:sz="0" w:space="0" w:color="auto"/>
                                    <w:left w:val="none" w:sz="0" w:space="0" w:color="auto"/>
                                    <w:bottom w:val="none" w:sz="0" w:space="0" w:color="auto"/>
                                    <w:right w:val="none" w:sz="0" w:space="0" w:color="auto"/>
                                  </w:divBdr>
                                  <w:divsChild>
                                    <w:div w:id="1297174453">
                                      <w:marLeft w:val="0"/>
                                      <w:marRight w:val="0"/>
                                      <w:marTop w:val="0"/>
                                      <w:marBottom w:val="0"/>
                                      <w:divBdr>
                                        <w:top w:val="none" w:sz="0" w:space="0" w:color="auto"/>
                                        <w:left w:val="none" w:sz="0" w:space="0" w:color="auto"/>
                                        <w:bottom w:val="none" w:sz="0" w:space="0" w:color="auto"/>
                                        <w:right w:val="none" w:sz="0" w:space="0" w:color="auto"/>
                                      </w:divBdr>
                                      <w:divsChild>
                                        <w:div w:id="54355410">
                                          <w:marLeft w:val="0"/>
                                          <w:marRight w:val="0"/>
                                          <w:marTop w:val="0"/>
                                          <w:marBottom w:val="0"/>
                                          <w:divBdr>
                                            <w:top w:val="none" w:sz="0" w:space="0" w:color="auto"/>
                                            <w:left w:val="none" w:sz="0" w:space="0" w:color="auto"/>
                                            <w:bottom w:val="none" w:sz="0" w:space="0" w:color="auto"/>
                                            <w:right w:val="none" w:sz="0" w:space="0" w:color="auto"/>
                                          </w:divBdr>
                                          <w:divsChild>
                                            <w:div w:id="1362589524">
                                              <w:marLeft w:val="0"/>
                                              <w:marRight w:val="0"/>
                                              <w:marTop w:val="0"/>
                                              <w:marBottom w:val="0"/>
                                              <w:divBdr>
                                                <w:top w:val="none" w:sz="0" w:space="0" w:color="auto"/>
                                                <w:left w:val="none" w:sz="0" w:space="0" w:color="auto"/>
                                                <w:bottom w:val="none" w:sz="0" w:space="0" w:color="auto"/>
                                                <w:right w:val="none" w:sz="0" w:space="0" w:color="auto"/>
                                              </w:divBdr>
                                            </w:div>
                                          </w:divsChild>
                                        </w:div>
                                        <w:div w:id="1333920804">
                                          <w:marLeft w:val="0"/>
                                          <w:marRight w:val="0"/>
                                          <w:marTop w:val="0"/>
                                          <w:marBottom w:val="0"/>
                                          <w:divBdr>
                                            <w:top w:val="none" w:sz="0" w:space="0" w:color="auto"/>
                                            <w:left w:val="none" w:sz="0" w:space="0" w:color="auto"/>
                                            <w:bottom w:val="none" w:sz="0" w:space="0" w:color="auto"/>
                                            <w:right w:val="none" w:sz="0" w:space="0" w:color="auto"/>
                                          </w:divBdr>
                                        </w:div>
                                      </w:divsChild>
                                    </w:div>
                                    <w:div w:id="19768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504948">
      <w:bodyDiv w:val="1"/>
      <w:marLeft w:val="0"/>
      <w:marRight w:val="0"/>
      <w:marTop w:val="0"/>
      <w:marBottom w:val="0"/>
      <w:divBdr>
        <w:top w:val="none" w:sz="0" w:space="0" w:color="auto"/>
        <w:left w:val="none" w:sz="0" w:space="0" w:color="auto"/>
        <w:bottom w:val="none" w:sz="0" w:space="0" w:color="auto"/>
        <w:right w:val="none" w:sz="0" w:space="0" w:color="auto"/>
      </w:divBdr>
      <w:divsChild>
        <w:div w:id="1461268236">
          <w:marLeft w:val="0"/>
          <w:marRight w:val="0"/>
          <w:marTop w:val="0"/>
          <w:marBottom w:val="0"/>
          <w:divBdr>
            <w:top w:val="none" w:sz="0" w:space="0" w:color="auto"/>
            <w:left w:val="none" w:sz="0" w:space="0" w:color="auto"/>
            <w:bottom w:val="none" w:sz="0" w:space="0" w:color="auto"/>
            <w:right w:val="none" w:sz="0" w:space="0" w:color="auto"/>
          </w:divBdr>
          <w:divsChild>
            <w:div w:id="1639991967">
              <w:marLeft w:val="0"/>
              <w:marRight w:val="0"/>
              <w:marTop w:val="0"/>
              <w:marBottom w:val="0"/>
              <w:divBdr>
                <w:top w:val="none" w:sz="0" w:space="0" w:color="auto"/>
                <w:left w:val="none" w:sz="0" w:space="0" w:color="auto"/>
                <w:bottom w:val="none" w:sz="0" w:space="0" w:color="auto"/>
                <w:right w:val="none" w:sz="0" w:space="0" w:color="auto"/>
              </w:divBdr>
              <w:divsChild>
                <w:div w:id="1977642738">
                  <w:marLeft w:val="0"/>
                  <w:marRight w:val="0"/>
                  <w:marTop w:val="0"/>
                  <w:marBottom w:val="0"/>
                  <w:divBdr>
                    <w:top w:val="none" w:sz="0" w:space="0" w:color="auto"/>
                    <w:left w:val="none" w:sz="0" w:space="0" w:color="auto"/>
                    <w:bottom w:val="none" w:sz="0" w:space="0" w:color="auto"/>
                    <w:right w:val="none" w:sz="0" w:space="0" w:color="auto"/>
                  </w:divBdr>
                  <w:divsChild>
                    <w:div w:id="466968989">
                      <w:marLeft w:val="0"/>
                      <w:marRight w:val="0"/>
                      <w:marTop w:val="0"/>
                      <w:marBottom w:val="0"/>
                      <w:divBdr>
                        <w:top w:val="none" w:sz="0" w:space="0" w:color="auto"/>
                        <w:left w:val="none" w:sz="0" w:space="0" w:color="auto"/>
                        <w:bottom w:val="none" w:sz="0" w:space="0" w:color="auto"/>
                        <w:right w:val="none" w:sz="0" w:space="0" w:color="auto"/>
                      </w:divBdr>
                      <w:divsChild>
                        <w:div w:id="674457688">
                          <w:marLeft w:val="0"/>
                          <w:marRight w:val="0"/>
                          <w:marTop w:val="0"/>
                          <w:marBottom w:val="0"/>
                          <w:divBdr>
                            <w:top w:val="none" w:sz="0" w:space="0" w:color="auto"/>
                            <w:left w:val="none" w:sz="0" w:space="0" w:color="auto"/>
                            <w:bottom w:val="none" w:sz="0" w:space="0" w:color="auto"/>
                            <w:right w:val="none" w:sz="0" w:space="0" w:color="auto"/>
                          </w:divBdr>
                          <w:divsChild>
                            <w:div w:id="1735542743">
                              <w:marLeft w:val="0"/>
                              <w:marRight w:val="0"/>
                              <w:marTop w:val="0"/>
                              <w:marBottom w:val="0"/>
                              <w:divBdr>
                                <w:top w:val="none" w:sz="0" w:space="0" w:color="auto"/>
                                <w:left w:val="none" w:sz="0" w:space="0" w:color="auto"/>
                                <w:bottom w:val="none" w:sz="0" w:space="0" w:color="auto"/>
                                <w:right w:val="none" w:sz="0" w:space="0" w:color="auto"/>
                              </w:divBdr>
                              <w:divsChild>
                                <w:div w:id="1138454705">
                                  <w:marLeft w:val="0"/>
                                  <w:marRight w:val="0"/>
                                  <w:marTop w:val="0"/>
                                  <w:marBottom w:val="0"/>
                                  <w:divBdr>
                                    <w:top w:val="none" w:sz="0" w:space="0" w:color="auto"/>
                                    <w:left w:val="none" w:sz="0" w:space="0" w:color="auto"/>
                                    <w:bottom w:val="none" w:sz="0" w:space="0" w:color="auto"/>
                                    <w:right w:val="none" w:sz="0" w:space="0" w:color="auto"/>
                                  </w:divBdr>
                                  <w:divsChild>
                                    <w:div w:id="1382628064">
                                      <w:marLeft w:val="0"/>
                                      <w:marRight w:val="0"/>
                                      <w:marTop w:val="0"/>
                                      <w:marBottom w:val="0"/>
                                      <w:divBdr>
                                        <w:top w:val="none" w:sz="0" w:space="0" w:color="auto"/>
                                        <w:left w:val="none" w:sz="0" w:space="0" w:color="auto"/>
                                        <w:bottom w:val="none" w:sz="0" w:space="0" w:color="auto"/>
                                        <w:right w:val="none" w:sz="0" w:space="0" w:color="auto"/>
                                      </w:divBdr>
                                      <w:divsChild>
                                        <w:div w:id="9412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8631">
      <w:bodyDiv w:val="1"/>
      <w:marLeft w:val="0"/>
      <w:marRight w:val="0"/>
      <w:marTop w:val="0"/>
      <w:marBottom w:val="0"/>
      <w:divBdr>
        <w:top w:val="none" w:sz="0" w:space="0" w:color="auto"/>
        <w:left w:val="none" w:sz="0" w:space="0" w:color="auto"/>
        <w:bottom w:val="none" w:sz="0" w:space="0" w:color="auto"/>
        <w:right w:val="none" w:sz="0" w:space="0" w:color="auto"/>
      </w:divBdr>
      <w:divsChild>
        <w:div w:id="881332345">
          <w:marLeft w:val="0"/>
          <w:marRight w:val="0"/>
          <w:marTop w:val="0"/>
          <w:marBottom w:val="0"/>
          <w:divBdr>
            <w:top w:val="none" w:sz="0" w:space="0" w:color="auto"/>
            <w:left w:val="none" w:sz="0" w:space="0" w:color="auto"/>
            <w:bottom w:val="none" w:sz="0" w:space="0" w:color="auto"/>
            <w:right w:val="none" w:sz="0" w:space="0" w:color="auto"/>
          </w:divBdr>
          <w:divsChild>
            <w:div w:id="1555697746">
              <w:marLeft w:val="0"/>
              <w:marRight w:val="0"/>
              <w:marTop w:val="0"/>
              <w:marBottom w:val="0"/>
              <w:divBdr>
                <w:top w:val="none" w:sz="0" w:space="0" w:color="auto"/>
                <w:left w:val="none" w:sz="0" w:space="0" w:color="auto"/>
                <w:bottom w:val="none" w:sz="0" w:space="0" w:color="auto"/>
                <w:right w:val="none" w:sz="0" w:space="0" w:color="auto"/>
              </w:divBdr>
              <w:divsChild>
                <w:div w:id="1329091449">
                  <w:marLeft w:val="0"/>
                  <w:marRight w:val="-6084"/>
                  <w:marTop w:val="0"/>
                  <w:marBottom w:val="0"/>
                  <w:divBdr>
                    <w:top w:val="none" w:sz="0" w:space="0" w:color="auto"/>
                    <w:left w:val="none" w:sz="0" w:space="0" w:color="auto"/>
                    <w:bottom w:val="none" w:sz="0" w:space="0" w:color="auto"/>
                    <w:right w:val="none" w:sz="0" w:space="0" w:color="auto"/>
                  </w:divBdr>
                  <w:divsChild>
                    <w:div w:id="2137986789">
                      <w:marLeft w:val="0"/>
                      <w:marRight w:val="5604"/>
                      <w:marTop w:val="0"/>
                      <w:marBottom w:val="0"/>
                      <w:divBdr>
                        <w:top w:val="none" w:sz="0" w:space="0" w:color="auto"/>
                        <w:left w:val="none" w:sz="0" w:space="0" w:color="auto"/>
                        <w:bottom w:val="none" w:sz="0" w:space="0" w:color="auto"/>
                        <w:right w:val="none" w:sz="0" w:space="0" w:color="auto"/>
                      </w:divBdr>
                      <w:divsChild>
                        <w:div w:id="743381023">
                          <w:marLeft w:val="0"/>
                          <w:marRight w:val="0"/>
                          <w:marTop w:val="0"/>
                          <w:marBottom w:val="0"/>
                          <w:divBdr>
                            <w:top w:val="none" w:sz="0" w:space="0" w:color="auto"/>
                            <w:left w:val="none" w:sz="0" w:space="0" w:color="auto"/>
                            <w:bottom w:val="none" w:sz="0" w:space="0" w:color="auto"/>
                            <w:right w:val="none" w:sz="0" w:space="0" w:color="auto"/>
                          </w:divBdr>
                          <w:divsChild>
                            <w:div w:id="274601162">
                              <w:marLeft w:val="0"/>
                              <w:marRight w:val="0"/>
                              <w:marTop w:val="120"/>
                              <w:marBottom w:val="360"/>
                              <w:divBdr>
                                <w:top w:val="none" w:sz="0" w:space="0" w:color="auto"/>
                                <w:left w:val="none" w:sz="0" w:space="0" w:color="auto"/>
                                <w:bottom w:val="none" w:sz="0" w:space="0" w:color="auto"/>
                                <w:right w:val="none" w:sz="0" w:space="0" w:color="auto"/>
                              </w:divBdr>
                              <w:divsChild>
                                <w:div w:id="334724635">
                                  <w:marLeft w:val="351"/>
                                  <w:marRight w:val="0"/>
                                  <w:marTop w:val="0"/>
                                  <w:marBottom w:val="0"/>
                                  <w:divBdr>
                                    <w:top w:val="none" w:sz="0" w:space="0" w:color="auto"/>
                                    <w:left w:val="none" w:sz="0" w:space="0" w:color="auto"/>
                                    <w:bottom w:val="none" w:sz="0" w:space="0" w:color="auto"/>
                                    <w:right w:val="none" w:sz="0" w:space="0" w:color="auto"/>
                                  </w:divBdr>
                                </w:div>
                              </w:divsChild>
                            </w:div>
                            <w:div w:id="801314452">
                              <w:marLeft w:val="0"/>
                              <w:marRight w:val="0"/>
                              <w:marTop w:val="120"/>
                              <w:marBottom w:val="360"/>
                              <w:divBdr>
                                <w:top w:val="none" w:sz="0" w:space="0" w:color="auto"/>
                                <w:left w:val="none" w:sz="0" w:space="0" w:color="auto"/>
                                <w:bottom w:val="none" w:sz="0" w:space="0" w:color="auto"/>
                                <w:right w:val="none" w:sz="0" w:space="0" w:color="auto"/>
                              </w:divBdr>
                              <w:divsChild>
                                <w:div w:id="327903735">
                                  <w:marLeft w:val="0"/>
                                  <w:marRight w:val="0"/>
                                  <w:marTop w:val="0"/>
                                  <w:marBottom w:val="0"/>
                                  <w:divBdr>
                                    <w:top w:val="none" w:sz="0" w:space="0" w:color="auto"/>
                                    <w:left w:val="none" w:sz="0" w:space="0" w:color="auto"/>
                                    <w:bottom w:val="none" w:sz="0" w:space="0" w:color="auto"/>
                                    <w:right w:val="none" w:sz="0" w:space="0" w:color="auto"/>
                                  </w:divBdr>
                                </w:div>
                                <w:div w:id="1502624863">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entrez/query.fcgi?db=pubmed&amp;cmd=Search&amp;itool=pubmed_Abstract&amp;term=%22Kyllonen+LE%22%5BAuthor%5D" TargetMode="External"/><Relationship Id="rId18" Type="http://schemas.openxmlformats.org/officeDocument/2006/relationships/hyperlink" Target="javascript:AL_get(this,%20'jour',%20'Transplantation.');" TargetMode="External"/><Relationship Id="rId26" Type="http://schemas.openxmlformats.org/officeDocument/2006/relationships/hyperlink" Target="http://www.ncbi.nlm.nih.gov/sites/entrez?Db=pubmed&amp;Cmd=Search&amp;Term=%22Torres%20Y%22%5BAuthor%5D&amp;itool=EntrezSystem2.PEntrez.Pubmed.Pubmed_ResultsPanel.Pubmed_RVAbstractPlus" TargetMode="External"/><Relationship Id="rId39" Type="http://schemas.openxmlformats.org/officeDocument/2006/relationships/hyperlink" Target="http://www.ncbi.nlm.nih.gov/pubmed/23357165" TargetMode="External"/><Relationship Id="rId21" Type="http://schemas.openxmlformats.org/officeDocument/2006/relationships/hyperlink" Target="http://www.ncbi.nlm.nih.gov/sites/entrez?Db=pubmed&amp;Cmd=Search&amp;Term=%22Rodr%C3%ADguez%20LM%22%5BAuthor%5D&amp;itool=EntrezSystem2.PEntrez.Pubmed.Pubmed_ResultsPanel.Pubmed_RVAbstractPlus" TargetMode="External"/><Relationship Id="rId34" Type="http://schemas.openxmlformats.org/officeDocument/2006/relationships/hyperlink" Target="http://www.ncbi.nlm.nih.gov/pubmed/19375469" TargetMode="External"/><Relationship Id="rId42" Type="http://schemas.openxmlformats.org/officeDocument/2006/relationships/hyperlink" Target="http://www.ncbi.nlm.nih.gov/pubmed/24530759" TargetMode="External"/><Relationship Id="rId47" Type="http://schemas.openxmlformats.org/officeDocument/2006/relationships/hyperlink" Target="http://www.ncbi.nlm.nih.gov/pubmed/22841236" TargetMode="External"/><Relationship Id="rId50" Type="http://schemas.openxmlformats.org/officeDocument/2006/relationships/hyperlink" Target="http://www.ncbi.nlm.nih.gov/pubmed/23465693" TargetMode="External"/><Relationship Id="rId55" Type="http://schemas.openxmlformats.org/officeDocument/2006/relationships/hyperlink" Target="http://www.ncbi.nlm.nih.gov/pubmed/24271161"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cbi.nlm.nih.gov/entrez/query.fcgi?db=pubmed&amp;cmd=Search&amp;itool=pubmed_Abstract&amp;term=%22Pelzl+S%22%5BAuthor%5D" TargetMode="External"/><Relationship Id="rId20" Type="http://schemas.openxmlformats.org/officeDocument/2006/relationships/hyperlink" Target="http://www.ncbi.nlm.nih.gov/sites/entrez?Db=pubmed&amp;Cmd=ShowDetailView&amp;TermToSearch=17452892&amp;ordinalpos=6&amp;itool=EntrezSystem2.PEntrez.Pubmed.Pubmed_ResultsPanel.Pubmed_RVDocSum" TargetMode="External"/><Relationship Id="rId29" Type="http://schemas.openxmlformats.org/officeDocument/2006/relationships/hyperlink" Target="http://www.ncbi.nlm.nih.gov/sites/entrez?Db=pubmed&amp;Cmd=Search&amp;Term=%22Stastny%20P%22%5BAuthor%5D&amp;itool=EntrezSystem2.PEntrez.Pubmed.Pubmed_ResultsPanel.Pubmed_RVAbstractPlus" TargetMode="External"/><Relationship Id="rId41" Type="http://schemas.openxmlformats.org/officeDocument/2006/relationships/hyperlink" Target="http://www.ncbi.nlm.nih.gov/pubmed/23726578" TargetMode="External"/><Relationship Id="rId54" Type="http://schemas.openxmlformats.org/officeDocument/2006/relationships/hyperlink" Target="http://www.ncbi.nlm.nih.gov/pubmed/2383864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cbi.nlm.nih.gov/sites/entrez?Db=pubmed&amp;Cmd=Search&amp;Term=%22Cotes%20JM%22%5BAuthor%5D&amp;itool=EntrezSystem2.PEntrez.Pubmed.Pubmed_ResultsPanel.Pubmed_RVAbstractPlus" TargetMode="External"/><Relationship Id="rId32" Type="http://schemas.openxmlformats.org/officeDocument/2006/relationships/hyperlink" Target="http://www.ncbi.nlm.nih.gov/sites/entrez?Db=pubmed&amp;Cmd=Search&amp;Term=%22Opelz%20G%22%5BAuthor%5D&amp;itool=EntrezSystem2.PEntrez.Pubmed.Pubmed_ResultsPanel.Pubmed_RVAbstractPlus" TargetMode="External"/><Relationship Id="rId37" Type="http://schemas.openxmlformats.org/officeDocument/2006/relationships/hyperlink" Target="http://www.ncbi.nlm.nih.gov/pubmed/21376809" TargetMode="External"/><Relationship Id="rId40" Type="http://schemas.openxmlformats.org/officeDocument/2006/relationships/hyperlink" Target="http://www.ncbi.nlm.nih.gov/pubmed/23718733" TargetMode="External"/><Relationship Id="rId45" Type="http://schemas.openxmlformats.org/officeDocument/2006/relationships/hyperlink" Target="http://www.ncbi.nlm.nih.gov/pubmed/21416127" TargetMode="External"/><Relationship Id="rId53" Type="http://schemas.openxmlformats.org/officeDocument/2006/relationships/hyperlink" Target="http://www.ncbi.nlm.nih.gov/pubmed/23838650" TargetMode="External"/><Relationship Id="rId58" Type="http://schemas.openxmlformats.org/officeDocument/2006/relationships/hyperlink" Target="javascript:AL_get(this,%20'jour',%20'Am%20J%20Transplant.');" TargetMode="External"/><Relationship Id="rId5" Type="http://schemas.openxmlformats.org/officeDocument/2006/relationships/numbering" Target="numbering.xml"/><Relationship Id="rId15" Type="http://schemas.openxmlformats.org/officeDocument/2006/relationships/hyperlink" Target="http://www.ncbi.nlm.nih.gov/entrez/query.fcgi?db=pubmed&amp;cmd=Search&amp;itool=pubmed_Abstract&amp;term=%22Helin+H%22%5BAuthor%5D" TargetMode="External"/><Relationship Id="rId23" Type="http://schemas.openxmlformats.org/officeDocument/2006/relationships/hyperlink" Target="http://www.ncbi.nlm.nih.gov/sites/entrez?Db=pubmed&amp;Cmd=Search&amp;Term=%22Arbel%C3%A1ez%20M%22%5BAuthor%5D&amp;itool=EntrezSystem2.PEntrez.Pubmed.Pubmed_ResultsPanel.Pubmed_RVAbstractPlus" TargetMode="External"/><Relationship Id="rId28" Type="http://schemas.openxmlformats.org/officeDocument/2006/relationships/hyperlink" Target="http://www.ncbi.nlm.nih.gov/sites/entrez?Db=pubmed&amp;Cmd=Search&amp;Term=%22Zou%20Y%22%5BAuthor%5D&amp;itool=EntrezSystem2.PEntrez.Pubmed.Pubmed_ResultsPanel.Pubmed_RVAbstractPlus" TargetMode="External"/><Relationship Id="rId36" Type="http://schemas.openxmlformats.org/officeDocument/2006/relationships/hyperlink" Target="http://www.ncbi.nlm.nih.gov/pubmed/21325993" TargetMode="External"/><Relationship Id="rId49" Type="http://schemas.openxmlformats.org/officeDocument/2006/relationships/hyperlink" Target="http://www.ncbi.nlm.nih.gov/pubmed/22587522" TargetMode="External"/><Relationship Id="rId57" Type="http://schemas.openxmlformats.org/officeDocument/2006/relationships/hyperlink" Target="http://www.ncbi.nlm.nih.gov/pubmed/24145326"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javascript:AL_get(this,%20'jour',%20'Am%20J%20Transplant.');" TargetMode="External"/><Relationship Id="rId31" Type="http://schemas.openxmlformats.org/officeDocument/2006/relationships/hyperlink" Target="http://www.ncbi.nlm.nih.gov/sites/entrez?Db=pubmed&amp;Cmd=Search&amp;Term=%22D%C3%B6hler%20B%22%5BAuthor%5D&amp;itool=EntrezSystem2.PEntrez.Pubmed.Pubmed_ResultsPanel.Pubmed_RVAbstractPlus" TargetMode="External"/><Relationship Id="rId44" Type="http://schemas.openxmlformats.org/officeDocument/2006/relationships/hyperlink" Target="http://www.ncbi.nlm.nih.gov/pubmed/21299521" TargetMode="External"/><Relationship Id="rId52" Type="http://schemas.openxmlformats.org/officeDocument/2006/relationships/hyperlink" Target="http://www.ncbi.nlm.nih.gov/pubmed/23922544"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bi.nlm.nih.gov/entrez/query.fcgi?db=pubmed&amp;cmd=Search&amp;itool=pubmed_Abstract&amp;term=%22Salmela+KT%22%5BAuthor%5D" TargetMode="External"/><Relationship Id="rId22" Type="http://schemas.openxmlformats.org/officeDocument/2006/relationships/hyperlink" Target="http://www.ncbi.nlm.nih.gov/sites/entrez?Db=pubmed&amp;Cmd=Search&amp;Term=%22Par%C3%ADs%20SC%22%5BAuthor%5D&amp;itool=EntrezSystem2.PEntrez.Pubmed.Pubmed_ResultsPanel.Pubmed_RVAbstractPlus" TargetMode="External"/><Relationship Id="rId27" Type="http://schemas.openxmlformats.org/officeDocument/2006/relationships/hyperlink" Target="http://www.ncbi.nlm.nih.gov/sites/entrez?Db=pubmed&amp;Cmd=Search&amp;Term=%22Garc%C3%ADa%20LF%22%5BAuthor%5D&amp;itool=EntrezSystem2.PEntrez.Pubmed.Pubmed_ResultsPanel.Pubmed_RVAbstractPlus" TargetMode="External"/><Relationship Id="rId30" Type="http://schemas.openxmlformats.org/officeDocument/2006/relationships/hyperlink" Target="http://www.ncbi.nlm.nih.gov/sites/entrez?Db=pubmed&amp;Cmd=Search&amp;Term=%22S%C3%BCsal%20C%22%5BAuthor%5D&amp;itool=EntrezSystem2.PEntrez.Pubmed.Pubmed_ResultsPanel.Pubmed_RVAbstractPlus" TargetMode="External"/><Relationship Id="rId35" Type="http://schemas.openxmlformats.org/officeDocument/2006/relationships/hyperlink" Target="javascript:AL_get(this,%20'jour',%20'Transplantation.');" TargetMode="External"/><Relationship Id="rId43" Type="http://schemas.openxmlformats.org/officeDocument/2006/relationships/hyperlink" Target="http://www.ncbi.nlm.nih.gov/sites/entrez?Db=pubmed&amp;Cmd=ShowDetailView&amp;TermToSearch=17100695&amp;ordinalpos=7&amp;itool=EntrezSystem2.PEntrez.Pubmed.Pubmed_ResultsPanel.Pubmed_RVDocSum" TargetMode="External"/><Relationship Id="rId48" Type="http://schemas.openxmlformats.org/officeDocument/2006/relationships/hyperlink" Target="http://www.ncbi.nlm.nih.gov/pubmed/22665239" TargetMode="External"/><Relationship Id="rId56" Type="http://schemas.openxmlformats.org/officeDocument/2006/relationships/hyperlink" Target="http://www.ncbi.nlm.nih.gov/pubmed/22029993"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ncbi.nlm.nih.gov/pubmed/23560807" TargetMode="External"/><Relationship Id="rId3" Type="http://schemas.openxmlformats.org/officeDocument/2006/relationships/customXml" Target="../customXml/item3.xml"/><Relationship Id="rId12" Type="http://schemas.openxmlformats.org/officeDocument/2006/relationships/hyperlink" Target="http://www.ncbi.nlm.nih.gov/entrez/query.fcgi?db=pubmed&amp;cmd=Search&amp;itool=pubmed_Abstract&amp;term=%22Matinlauri+IH%22%5BAuthor%5D" TargetMode="External"/><Relationship Id="rId17" Type="http://schemas.openxmlformats.org/officeDocument/2006/relationships/hyperlink" Target="http://www.ncbi.nlm.nih.gov/entrez/query.fcgi?db=pubmed&amp;cmd=Search&amp;itool=pubmed_Abstract&amp;term=%22Susal+C%22%5BAuthor%5D" TargetMode="External"/><Relationship Id="rId25" Type="http://schemas.openxmlformats.org/officeDocument/2006/relationships/hyperlink" Target="http://www.ncbi.nlm.nih.gov/sites/entrez?Db=pubmed&amp;Cmd=Search&amp;Term=%22S%C3%BCsal%20C%22%5BAuthor%5D&amp;itool=EntrezSystem2.PEntrez.Pubmed.Pubmed_ResultsPanel.Pubmed_RVAbstractPlus" TargetMode="External"/><Relationship Id="rId33" Type="http://schemas.openxmlformats.org/officeDocument/2006/relationships/hyperlink" Target="http://www.ncbi.nlm.nih.gov/pubmed/19375472" TargetMode="External"/><Relationship Id="rId38" Type="http://schemas.openxmlformats.org/officeDocument/2006/relationships/hyperlink" Target="http://www.ncbi.nlm.nih.gov/pubmed/21486601" TargetMode="External"/><Relationship Id="rId46" Type="http://schemas.openxmlformats.org/officeDocument/2006/relationships/hyperlink" Target="http://www.ncbi.nlm.nih.gov/pubmed/22037199" TargetMode="External"/><Relationship Id="rId59" Type="http://schemas.openxmlformats.org/officeDocument/2006/relationships/hyperlink" Target="http://www.ncbi.nlm.nih.gov/pubmed/2377463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72F9F114431C244830045A5B902626B" ma:contentTypeVersion="13" ma:contentTypeDescription="Yeni belge oluşturun." ma:contentTypeScope="" ma:versionID="2f941edb6c1fb73a08236e19a2d864c3">
  <xsd:schema xmlns:xsd="http://www.w3.org/2001/XMLSchema" xmlns:xs="http://www.w3.org/2001/XMLSchema" xmlns:p="http://schemas.microsoft.com/office/2006/metadata/properties" xmlns:ns3="05c68912-25cc-4156-93e5-b141afe35698" xmlns:ns4="be5eb456-06e7-4659-89e4-c81ef73e771b" targetNamespace="http://schemas.microsoft.com/office/2006/metadata/properties" ma:root="true" ma:fieldsID="f098179f542c0f43db4f0244c2b78ded" ns3:_="" ns4:_="">
    <xsd:import namespace="05c68912-25cc-4156-93e5-b141afe35698"/>
    <xsd:import namespace="be5eb456-06e7-4659-89e4-c81ef73e77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68912-25cc-4156-93e5-b141afe35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5eb456-06e7-4659-89e4-c81ef73e771b" elementFormDefault="qualified">
    <xsd:import namespace="http://schemas.microsoft.com/office/2006/documentManagement/types"/>
    <xsd:import namespace="http://schemas.microsoft.com/office/infopath/2007/PartnerControls"/>
    <xsd:element name="SharedWithUsers" ma:index="17"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Ayrıntıları ile Paylaşıldı" ma:internalName="SharedWithDetails" ma:readOnly="true">
      <xsd:simpleType>
        <xsd:restriction base="dms:Note">
          <xsd:maxLength value="255"/>
        </xsd:restriction>
      </xsd:simpleType>
    </xsd:element>
    <xsd:element name="SharingHintHash" ma:index="19"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F0373-DD79-45AA-BC6C-292A0169F258}">
  <ds:schemaRefs>
    <ds:schemaRef ds:uri="http://schemas.microsoft.com/sharepoint/v3/contenttype/forms"/>
  </ds:schemaRefs>
</ds:datastoreItem>
</file>

<file path=customXml/itemProps2.xml><?xml version="1.0" encoding="utf-8"?>
<ds:datastoreItem xmlns:ds="http://schemas.openxmlformats.org/officeDocument/2006/customXml" ds:itemID="{5EB90E07-58B9-4296-81DB-081E48563F07}">
  <ds:schemaRefs>
    <ds:schemaRef ds:uri="http://schemas.openxmlformats.org/package/2006/metadata/core-properties"/>
    <ds:schemaRef ds:uri="http://schemas.microsoft.com/office/2006/documentManagement/types"/>
    <ds:schemaRef ds:uri="be5eb456-06e7-4659-89e4-c81ef73e771b"/>
    <ds:schemaRef ds:uri="http://purl.org/dc/elements/1.1/"/>
    <ds:schemaRef ds:uri="http://schemas.microsoft.com/office/2006/metadata/properties"/>
    <ds:schemaRef ds:uri="http://schemas.microsoft.com/office/infopath/2007/PartnerControls"/>
    <ds:schemaRef ds:uri="http://purl.org/dc/terms/"/>
    <ds:schemaRef ds:uri="05c68912-25cc-4156-93e5-b141afe35698"/>
    <ds:schemaRef ds:uri="http://www.w3.org/XML/1998/namespace"/>
    <ds:schemaRef ds:uri="http://purl.org/dc/dcmitype/"/>
  </ds:schemaRefs>
</ds:datastoreItem>
</file>

<file path=customXml/itemProps3.xml><?xml version="1.0" encoding="utf-8"?>
<ds:datastoreItem xmlns:ds="http://schemas.openxmlformats.org/officeDocument/2006/customXml" ds:itemID="{D5DFB533-CBAE-46EC-817B-7FB184416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68912-25cc-4156-93e5-b141afe35698"/>
    <ds:schemaRef ds:uri="be5eb456-06e7-4659-89e4-c81ef73e7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B1DD0-2B1B-43F8-82DB-9F2FAED0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9450</Words>
  <Characters>53867</Characters>
  <Application>Microsoft Office Word</Application>
  <DocSecurity>0</DocSecurity>
  <Lines>448</Lines>
  <Paragraphs>126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Application Houston</vt:lpstr>
      <vt:lpstr>Application Houston</vt:lpstr>
    </vt:vector>
  </TitlesOfParts>
  <Company>Abt. Transplantationsimmunologie / Heidelberg</Company>
  <LinksUpToDate>false</LinksUpToDate>
  <CharactersWithSpaces>63191</CharactersWithSpaces>
  <SharedDoc>false</SharedDoc>
  <HLinks>
    <vt:vector size="288" baseType="variant">
      <vt:variant>
        <vt:i4>3276836</vt:i4>
      </vt:variant>
      <vt:variant>
        <vt:i4>141</vt:i4>
      </vt:variant>
      <vt:variant>
        <vt:i4>0</vt:i4>
      </vt:variant>
      <vt:variant>
        <vt:i4>5</vt:i4>
      </vt:variant>
      <vt:variant>
        <vt:lpwstr>http://www.ncbi.nlm.nih.gov/pubmed/23774634</vt:lpwstr>
      </vt:variant>
      <vt:variant>
        <vt:lpwstr/>
      </vt:variant>
      <vt:variant>
        <vt:i4>2752588</vt:i4>
      </vt:variant>
      <vt:variant>
        <vt:i4>138</vt:i4>
      </vt:variant>
      <vt:variant>
        <vt:i4>0</vt:i4>
      </vt:variant>
      <vt:variant>
        <vt:i4>5</vt:i4>
      </vt:variant>
      <vt:variant>
        <vt:lpwstr>javascript:AL_get(this, 'jour', 'Am J Transplant.');</vt:lpwstr>
      </vt:variant>
      <vt:variant>
        <vt:lpwstr/>
      </vt:variant>
      <vt:variant>
        <vt:i4>3276847</vt:i4>
      </vt:variant>
      <vt:variant>
        <vt:i4>135</vt:i4>
      </vt:variant>
      <vt:variant>
        <vt:i4>0</vt:i4>
      </vt:variant>
      <vt:variant>
        <vt:i4>5</vt:i4>
      </vt:variant>
      <vt:variant>
        <vt:lpwstr>http://www.ncbi.nlm.nih.gov/pubmed/22029993</vt:lpwstr>
      </vt:variant>
      <vt:variant>
        <vt:lpwstr/>
      </vt:variant>
      <vt:variant>
        <vt:i4>3407909</vt:i4>
      </vt:variant>
      <vt:variant>
        <vt:i4>132</vt:i4>
      </vt:variant>
      <vt:variant>
        <vt:i4>0</vt:i4>
      </vt:variant>
      <vt:variant>
        <vt:i4>5</vt:i4>
      </vt:variant>
      <vt:variant>
        <vt:lpwstr>http://www.ncbi.nlm.nih.gov/pubmed/24145326</vt:lpwstr>
      </vt:variant>
      <vt:variant>
        <vt:lpwstr/>
      </vt:variant>
      <vt:variant>
        <vt:i4>3538976</vt:i4>
      </vt:variant>
      <vt:variant>
        <vt:i4>129</vt:i4>
      </vt:variant>
      <vt:variant>
        <vt:i4>0</vt:i4>
      </vt:variant>
      <vt:variant>
        <vt:i4>5</vt:i4>
      </vt:variant>
      <vt:variant>
        <vt:lpwstr>http://www.ncbi.nlm.nih.gov/pubmed/23838649</vt:lpwstr>
      </vt:variant>
      <vt:variant>
        <vt:lpwstr/>
      </vt:variant>
      <vt:variant>
        <vt:i4>3604512</vt:i4>
      </vt:variant>
      <vt:variant>
        <vt:i4>126</vt:i4>
      </vt:variant>
      <vt:variant>
        <vt:i4>0</vt:i4>
      </vt:variant>
      <vt:variant>
        <vt:i4>5</vt:i4>
      </vt:variant>
      <vt:variant>
        <vt:lpwstr>http://www.ncbi.nlm.nih.gov/pubmed/23838650</vt:lpwstr>
      </vt:variant>
      <vt:variant>
        <vt:lpwstr/>
      </vt:variant>
      <vt:variant>
        <vt:i4>3997730</vt:i4>
      </vt:variant>
      <vt:variant>
        <vt:i4>123</vt:i4>
      </vt:variant>
      <vt:variant>
        <vt:i4>0</vt:i4>
      </vt:variant>
      <vt:variant>
        <vt:i4>5</vt:i4>
      </vt:variant>
      <vt:variant>
        <vt:lpwstr>http://www.ncbi.nlm.nih.gov/pubmed/23922544</vt:lpwstr>
      </vt:variant>
      <vt:variant>
        <vt:lpwstr/>
      </vt:variant>
      <vt:variant>
        <vt:i4>3604523</vt:i4>
      </vt:variant>
      <vt:variant>
        <vt:i4>120</vt:i4>
      </vt:variant>
      <vt:variant>
        <vt:i4>0</vt:i4>
      </vt:variant>
      <vt:variant>
        <vt:i4>5</vt:i4>
      </vt:variant>
      <vt:variant>
        <vt:lpwstr>http://www.ncbi.nlm.nih.gov/pubmed/23560807</vt:lpwstr>
      </vt:variant>
      <vt:variant>
        <vt:lpwstr/>
      </vt:variant>
      <vt:variant>
        <vt:i4>3604516</vt:i4>
      </vt:variant>
      <vt:variant>
        <vt:i4>117</vt:i4>
      </vt:variant>
      <vt:variant>
        <vt:i4>0</vt:i4>
      </vt:variant>
      <vt:variant>
        <vt:i4>5</vt:i4>
      </vt:variant>
      <vt:variant>
        <vt:lpwstr>http://www.ncbi.nlm.nih.gov/pubmed/24271161</vt:lpwstr>
      </vt:variant>
      <vt:variant>
        <vt:lpwstr/>
      </vt:variant>
      <vt:variant>
        <vt:i4>3801125</vt:i4>
      </vt:variant>
      <vt:variant>
        <vt:i4>114</vt:i4>
      </vt:variant>
      <vt:variant>
        <vt:i4>0</vt:i4>
      </vt:variant>
      <vt:variant>
        <vt:i4>5</vt:i4>
      </vt:variant>
      <vt:variant>
        <vt:lpwstr>http://www.ncbi.nlm.nih.gov/pubmed/23465693</vt:lpwstr>
      </vt:variant>
      <vt:variant>
        <vt:lpwstr/>
      </vt:variant>
      <vt:variant>
        <vt:i4>3276841</vt:i4>
      </vt:variant>
      <vt:variant>
        <vt:i4>111</vt:i4>
      </vt:variant>
      <vt:variant>
        <vt:i4>0</vt:i4>
      </vt:variant>
      <vt:variant>
        <vt:i4>5</vt:i4>
      </vt:variant>
      <vt:variant>
        <vt:lpwstr>http://www.ncbi.nlm.nih.gov/pubmed/22587522</vt:lpwstr>
      </vt:variant>
      <vt:variant>
        <vt:lpwstr/>
      </vt:variant>
      <vt:variant>
        <vt:i4>3276832</vt:i4>
      </vt:variant>
      <vt:variant>
        <vt:i4>108</vt:i4>
      </vt:variant>
      <vt:variant>
        <vt:i4>0</vt:i4>
      </vt:variant>
      <vt:variant>
        <vt:i4>5</vt:i4>
      </vt:variant>
      <vt:variant>
        <vt:lpwstr>http://www.ncbi.nlm.nih.gov/pubmed/22665239</vt:lpwstr>
      </vt:variant>
      <vt:variant>
        <vt:lpwstr/>
      </vt:variant>
      <vt:variant>
        <vt:i4>3670050</vt:i4>
      </vt:variant>
      <vt:variant>
        <vt:i4>105</vt:i4>
      </vt:variant>
      <vt:variant>
        <vt:i4>0</vt:i4>
      </vt:variant>
      <vt:variant>
        <vt:i4>5</vt:i4>
      </vt:variant>
      <vt:variant>
        <vt:lpwstr>http://www.ncbi.nlm.nih.gov/pubmed/22841236</vt:lpwstr>
      </vt:variant>
      <vt:variant>
        <vt:lpwstr/>
      </vt:variant>
      <vt:variant>
        <vt:i4>3932198</vt:i4>
      </vt:variant>
      <vt:variant>
        <vt:i4>102</vt:i4>
      </vt:variant>
      <vt:variant>
        <vt:i4>0</vt:i4>
      </vt:variant>
      <vt:variant>
        <vt:i4>5</vt:i4>
      </vt:variant>
      <vt:variant>
        <vt:lpwstr>http://www.ncbi.nlm.nih.gov/pubmed/22037199</vt:lpwstr>
      </vt:variant>
      <vt:variant>
        <vt:lpwstr/>
      </vt:variant>
      <vt:variant>
        <vt:i4>3276839</vt:i4>
      </vt:variant>
      <vt:variant>
        <vt:i4>99</vt:i4>
      </vt:variant>
      <vt:variant>
        <vt:i4>0</vt:i4>
      </vt:variant>
      <vt:variant>
        <vt:i4>5</vt:i4>
      </vt:variant>
      <vt:variant>
        <vt:lpwstr>http://www.ncbi.nlm.nih.gov/pubmed/21416127</vt:lpwstr>
      </vt:variant>
      <vt:variant>
        <vt:lpwstr/>
      </vt:variant>
      <vt:variant>
        <vt:i4>3866667</vt:i4>
      </vt:variant>
      <vt:variant>
        <vt:i4>96</vt:i4>
      </vt:variant>
      <vt:variant>
        <vt:i4>0</vt:i4>
      </vt:variant>
      <vt:variant>
        <vt:i4>5</vt:i4>
      </vt:variant>
      <vt:variant>
        <vt:lpwstr>http://www.ncbi.nlm.nih.gov/pubmed/21299521</vt:lpwstr>
      </vt:variant>
      <vt:variant>
        <vt:lpwstr/>
      </vt:variant>
      <vt:variant>
        <vt:i4>3145832</vt:i4>
      </vt:variant>
      <vt:variant>
        <vt:i4>93</vt:i4>
      </vt:variant>
      <vt:variant>
        <vt:i4>0</vt:i4>
      </vt:variant>
      <vt:variant>
        <vt:i4>5</vt:i4>
      </vt:variant>
      <vt:variant>
        <vt:lpwstr>http://www.ncbi.nlm.nih.gov/sites/entrez?Db=pubmed&amp;Cmd=ShowDetailView&amp;TermToSearch=17100695&amp;ordinalpos=7&amp;itool=EntrezSystem2.PEntrez.Pubmed.Pubmed_ResultsPanel.Pubmed_RVDocSum</vt:lpwstr>
      </vt:variant>
      <vt:variant>
        <vt:lpwstr/>
      </vt:variant>
      <vt:variant>
        <vt:i4>3276838</vt:i4>
      </vt:variant>
      <vt:variant>
        <vt:i4>90</vt:i4>
      </vt:variant>
      <vt:variant>
        <vt:i4>0</vt:i4>
      </vt:variant>
      <vt:variant>
        <vt:i4>5</vt:i4>
      </vt:variant>
      <vt:variant>
        <vt:lpwstr>http://www.ncbi.nlm.nih.gov/pubmed/24530759</vt:lpwstr>
      </vt:variant>
      <vt:variant>
        <vt:lpwstr/>
      </vt:variant>
      <vt:variant>
        <vt:i4>3407906</vt:i4>
      </vt:variant>
      <vt:variant>
        <vt:i4>87</vt:i4>
      </vt:variant>
      <vt:variant>
        <vt:i4>0</vt:i4>
      </vt:variant>
      <vt:variant>
        <vt:i4>5</vt:i4>
      </vt:variant>
      <vt:variant>
        <vt:lpwstr>http://www.ncbi.nlm.nih.gov/pubmed/23726578</vt:lpwstr>
      </vt:variant>
      <vt:variant>
        <vt:lpwstr/>
      </vt:variant>
      <vt:variant>
        <vt:i4>4063267</vt:i4>
      </vt:variant>
      <vt:variant>
        <vt:i4>84</vt:i4>
      </vt:variant>
      <vt:variant>
        <vt:i4>0</vt:i4>
      </vt:variant>
      <vt:variant>
        <vt:i4>5</vt:i4>
      </vt:variant>
      <vt:variant>
        <vt:lpwstr>http://www.ncbi.nlm.nih.gov/pubmed/23718733</vt:lpwstr>
      </vt:variant>
      <vt:variant>
        <vt:lpwstr/>
      </vt:variant>
      <vt:variant>
        <vt:i4>3145761</vt:i4>
      </vt:variant>
      <vt:variant>
        <vt:i4>81</vt:i4>
      </vt:variant>
      <vt:variant>
        <vt:i4>0</vt:i4>
      </vt:variant>
      <vt:variant>
        <vt:i4>5</vt:i4>
      </vt:variant>
      <vt:variant>
        <vt:lpwstr>http://www.ncbi.nlm.nih.gov/pubmed/23357165</vt:lpwstr>
      </vt:variant>
      <vt:variant>
        <vt:lpwstr/>
      </vt:variant>
      <vt:variant>
        <vt:i4>3145769</vt:i4>
      </vt:variant>
      <vt:variant>
        <vt:i4>78</vt:i4>
      </vt:variant>
      <vt:variant>
        <vt:i4>0</vt:i4>
      </vt:variant>
      <vt:variant>
        <vt:i4>5</vt:i4>
      </vt:variant>
      <vt:variant>
        <vt:lpwstr>http://www.ncbi.nlm.nih.gov/pubmed/21486601</vt:lpwstr>
      </vt:variant>
      <vt:variant>
        <vt:lpwstr/>
      </vt:variant>
      <vt:variant>
        <vt:i4>3604520</vt:i4>
      </vt:variant>
      <vt:variant>
        <vt:i4>75</vt:i4>
      </vt:variant>
      <vt:variant>
        <vt:i4>0</vt:i4>
      </vt:variant>
      <vt:variant>
        <vt:i4>5</vt:i4>
      </vt:variant>
      <vt:variant>
        <vt:lpwstr>http://www.ncbi.nlm.nih.gov/pubmed/21376809</vt:lpwstr>
      </vt:variant>
      <vt:variant>
        <vt:lpwstr/>
      </vt:variant>
      <vt:variant>
        <vt:i4>3997740</vt:i4>
      </vt:variant>
      <vt:variant>
        <vt:i4>72</vt:i4>
      </vt:variant>
      <vt:variant>
        <vt:i4>0</vt:i4>
      </vt:variant>
      <vt:variant>
        <vt:i4>5</vt:i4>
      </vt:variant>
      <vt:variant>
        <vt:lpwstr>http://www.ncbi.nlm.nih.gov/pubmed/21325993</vt:lpwstr>
      </vt:variant>
      <vt:variant>
        <vt:lpwstr/>
      </vt:variant>
      <vt:variant>
        <vt:i4>3145805</vt:i4>
      </vt:variant>
      <vt:variant>
        <vt:i4>69</vt:i4>
      </vt:variant>
      <vt:variant>
        <vt:i4>0</vt:i4>
      </vt:variant>
      <vt:variant>
        <vt:i4>5</vt:i4>
      </vt:variant>
      <vt:variant>
        <vt:lpwstr>javascript:AL_get(this, 'jour', 'Transplantation.');</vt:lpwstr>
      </vt:variant>
      <vt:variant>
        <vt:lpwstr/>
      </vt:variant>
      <vt:variant>
        <vt:i4>3211308</vt:i4>
      </vt:variant>
      <vt:variant>
        <vt:i4>66</vt:i4>
      </vt:variant>
      <vt:variant>
        <vt:i4>0</vt:i4>
      </vt:variant>
      <vt:variant>
        <vt:i4>5</vt:i4>
      </vt:variant>
      <vt:variant>
        <vt:lpwstr>http://www.ncbi.nlm.nih.gov/pubmed/19375469</vt:lpwstr>
      </vt:variant>
      <vt:variant>
        <vt:lpwstr/>
      </vt:variant>
      <vt:variant>
        <vt:i4>3145772</vt:i4>
      </vt:variant>
      <vt:variant>
        <vt:i4>63</vt:i4>
      </vt:variant>
      <vt:variant>
        <vt:i4>0</vt:i4>
      </vt:variant>
      <vt:variant>
        <vt:i4>5</vt:i4>
      </vt:variant>
      <vt:variant>
        <vt:lpwstr>http://www.ncbi.nlm.nih.gov/pubmed/19375472</vt:lpwstr>
      </vt:variant>
      <vt:variant>
        <vt:lpwstr/>
      </vt:variant>
      <vt:variant>
        <vt:i4>3473519</vt:i4>
      </vt:variant>
      <vt:variant>
        <vt:i4>60</vt:i4>
      </vt:variant>
      <vt:variant>
        <vt:i4>0</vt:i4>
      </vt:variant>
      <vt:variant>
        <vt:i4>5</vt:i4>
      </vt:variant>
      <vt:variant>
        <vt:lpwstr>http://www.ncbi.nlm.nih.gov/sites/entrez?Db=pubmed&amp;Cmd=Search&amp;Term=%22Opelz%20G%22%5BAuthor%5D&amp;itool=EntrezSystem2.PEntrez.Pubmed.Pubmed_ResultsPanel.Pubmed_RVAbstractPlus</vt:lpwstr>
      </vt:variant>
      <vt:variant>
        <vt:lpwstr/>
      </vt:variant>
      <vt:variant>
        <vt:i4>5242896</vt:i4>
      </vt:variant>
      <vt:variant>
        <vt:i4>57</vt:i4>
      </vt:variant>
      <vt:variant>
        <vt:i4>0</vt:i4>
      </vt:variant>
      <vt:variant>
        <vt:i4>5</vt:i4>
      </vt:variant>
      <vt:variant>
        <vt:lpwstr>http://www.ncbi.nlm.nih.gov/sites/entrez?Db=pubmed&amp;Cmd=Search&amp;Term=%22D%C3%B6hler%20B%22%5BAuthor%5D&amp;itool=EntrezSystem2.PEntrez.Pubmed.Pubmed_ResultsPanel.Pubmed_RVAbstractPlus</vt:lpwstr>
      </vt:variant>
      <vt:variant>
        <vt:lpwstr/>
      </vt:variant>
      <vt:variant>
        <vt:i4>262169</vt:i4>
      </vt:variant>
      <vt:variant>
        <vt:i4>54</vt:i4>
      </vt:variant>
      <vt:variant>
        <vt:i4>0</vt:i4>
      </vt:variant>
      <vt:variant>
        <vt:i4>5</vt:i4>
      </vt:variant>
      <vt:variant>
        <vt:lpwstr>http://www.ncbi.nlm.nih.gov/sites/entrez?Db=pubmed&amp;Cmd=Search&amp;Term=%22S%C3%BCsal%20C%22%5BAuthor%5D&amp;itool=EntrezSystem2.PEntrez.Pubmed.Pubmed_ResultsPanel.Pubmed_RVAbstractPlus</vt:lpwstr>
      </vt:variant>
      <vt:variant>
        <vt:lpwstr/>
      </vt:variant>
      <vt:variant>
        <vt:i4>4194327</vt:i4>
      </vt:variant>
      <vt:variant>
        <vt:i4>51</vt:i4>
      </vt:variant>
      <vt:variant>
        <vt:i4>0</vt:i4>
      </vt:variant>
      <vt:variant>
        <vt:i4>5</vt:i4>
      </vt:variant>
      <vt:variant>
        <vt:lpwstr>http://www.ncbi.nlm.nih.gov/sites/entrez?Db=pubmed&amp;Cmd=Search&amp;Term=%22Stastny%20P%22%5BAuthor%5D&amp;itool=EntrezSystem2.PEntrez.Pubmed.Pubmed_ResultsPanel.Pubmed_RVAbstractPlus</vt:lpwstr>
      </vt:variant>
      <vt:variant>
        <vt:lpwstr/>
      </vt:variant>
      <vt:variant>
        <vt:i4>4587534</vt:i4>
      </vt:variant>
      <vt:variant>
        <vt:i4>48</vt:i4>
      </vt:variant>
      <vt:variant>
        <vt:i4>0</vt:i4>
      </vt:variant>
      <vt:variant>
        <vt:i4>5</vt:i4>
      </vt:variant>
      <vt:variant>
        <vt:lpwstr>http://www.ncbi.nlm.nih.gov/sites/entrez?Db=pubmed&amp;Cmd=Search&amp;Term=%22Zou%20Y%22%5BAuthor%5D&amp;itool=EntrezSystem2.PEntrez.Pubmed.Pubmed_ResultsPanel.Pubmed_RVAbstractPlus</vt:lpwstr>
      </vt:variant>
      <vt:variant>
        <vt:lpwstr/>
      </vt:variant>
      <vt:variant>
        <vt:i4>7143526</vt:i4>
      </vt:variant>
      <vt:variant>
        <vt:i4>45</vt:i4>
      </vt:variant>
      <vt:variant>
        <vt:i4>0</vt:i4>
      </vt:variant>
      <vt:variant>
        <vt:i4>5</vt:i4>
      </vt:variant>
      <vt:variant>
        <vt:lpwstr>http://www.ncbi.nlm.nih.gov/sites/entrez?Db=pubmed&amp;Cmd=Search&amp;Term=%22Garc%C3%ADa%20LF%22%5BAuthor%5D&amp;itool=EntrezSystem2.PEntrez.Pubmed.Pubmed_ResultsPanel.Pubmed_RVAbstractPlus</vt:lpwstr>
      </vt:variant>
      <vt:variant>
        <vt:lpwstr/>
      </vt:variant>
      <vt:variant>
        <vt:i4>1769549</vt:i4>
      </vt:variant>
      <vt:variant>
        <vt:i4>42</vt:i4>
      </vt:variant>
      <vt:variant>
        <vt:i4>0</vt:i4>
      </vt:variant>
      <vt:variant>
        <vt:i4>5</vt:i4>
      </vt:variant>
      <vt:variant>
        <vt:lpwstr>http://www.ncbi.nlm.nih.gov/sites/entrez?Db=pubmed&amp;Cmd=Search&amp;Term=%22Torres%20Y%22%5BAuthor%5D&amp;itool=EntrezSystem2.PEntrez.Pubmed.Pubmed_ResultsPanel.Pubmed_RVAbstractPlus</vt:lpwstr>
      </vt:variant>
      <vt:variant>
        <vt:lpwstr/>
      </vt:variant>
      <vt:variant>
        <vt:i4>262169</vt:i4>
      </vt:variant>
      <vt:variant>
        <vt:i4>39</vt:i4>
      </vt:variant>
      <vt:variant>
        <vt:i4>0</vt:i4>
      </vt:variant>
      <vt:variant>
        <vt:i4>5</vt:i4>
      </vt:variant>
      <vt:variant>
        <vt:lpwstr>http://www.ncbi.nlm.nih.gov/sites/entrez?Db=pubmed&amp;Cmd=Search&amp;Term=%22S%C3%BCsal%20C%22%5BAuthor%5D&amp;itool=EntrezSystem2.PEntrez.Pubmed.Pubmed_ResultsPanel.Pubmed_RVAbstractPlus</vt:lpwstr>
      </vt:variant>
      <vt:variant>
        <vt:lpwstr/>
      </vt:variant>
      <vt:variant>
        <vt:i4>4980743</vt:i4>
      </vt:variant>
      <vt:variant>
        <vt:i4>36</vt:i4>
      </vt:variant>
      <vt:variant>
        <vt:i4>0</vt:i4>
      </vt:variant>
      <vt:variant>
        <vt:i4>5</vt:i4>
      </vt:variant>
      <vt:variant>
        <vt:lpwstr>http://www.ncbi.nlm.nih.gov/sites/entrez?Db=pubmed&amp;Cmd=Search&amp;Term=%22Cotes%20JM%22%5BAuthor%5D&amp;itool=EntrezSystem2.PEntrez.Pubmed.Pubmed_ResultsPanel.Pubmed_RVAbstractPlus</vt:lpwstr>
      </vt:variant>
      <vt:variant>
        <vt:lpwstr/>
      </vt:variant>
      <vt:variant>
        <vt:i4>2883703</vt:i4>
      </vt:variant>
      <vt:variant>
        <vt:i4>33</vt:i4>
      </vt:variant>
      <vt:variant>
        <vt:i4>0</vt:i4>
      </vt:variant>
      <vt:variant>
        <vt:i4>5</vt:i4>
      </vt:variant>
      <vt:variant>
        <vt:lpwstr>http://www.ncbi.nlm.nih.gov/sites/entrez?Db=pubmed&amp;Cmd=Search&amp;Term=%22Arbel%C3%A1ez%20M%22%5BAuthor%5D&amp;itool=EntrezSystem2.PEntrez.Pubmed.Pubmed_ResultsPanel.Pubmed_RVAbstractPlus</vt:lpwstr>
      </vt:variant>
      <vt:variant>
        <vt:lpwstr/>
      </vt:variant>
      <vt:variant>
        <vt:i4>1572892</vt:i4>
      </vt:variant>
      <vt:variant>
        <vt:i4>30</vt:i4>
      </vt:variant>
      <vt:variant>
        <vt:i4>0</vt:i4>
      </vt:variant>
      <vt:variant>
        <vt:i4>5</vt:i4>
      </vt:variant>
      <vt:variant>
        <vt:lpwstr>http://www.ncbi.nlm.nih.gov/sites/entrez?Db=pubmed&amp;Cmd=Search&amp;Term=%22Par%C3%ADs%20SC%22%5BAuthor%5D&amp;itool=EntrezSystem2.PEntrez.Pubmed.Pubmed_ResultsPanel.Pubmed_RVAbstractPlus</vt:lpwstr>
      </vt:variant>
      <vt:variant>
        <vt:lpwstr/>
      </vt:variant>
      <vt:variant>
        <vt:i4>5374033</vt:i4>
      </vt:variant>
      <vt:variant>
        <vt:i4>27</vt:i4>
      </vt:variant>
      <vt:variant>
        <vt:i4>0</vt:i4>
      </vt:variant>
      <vt:variant>
        <vt:i4>5</vt:i4>
      </vt:variant>
      <vt:variant>
        <vt:lpwstr>http://www.ncbi.nlm.nih.gov/sites/entrez?Db=pubmed&amp;Cmd=Search&amp;Term=%22Rodr%C3%ADguez%20LM%22%5BAuthor%5D&amp;itool=EntrezSystem2.PEntrez.Pubmed.Pubmed_ResultsPanel.Pubmed_RVAbstractPlus</vt:lpwstr>
      </vt:variant>
      <vt:variant>
        <vt:lpwstr/>
      </vt:variant>
      <vt:variant>
        <vt:i4>3539044</vt:i4>
      </vt:variant>
      <vt:variant>
        <vt:i4>24</vt:i4>
      </vt:variant>
      <vt:variant>
        <vt:i4>0</vt:i4>
      </vt:variant>
      <vt:variant>
        <vt:i4>5</vt:i4>
      </vt:variant>
      <vt:variant>
        <vt:lpwstr>http://www.ncbi.nlm.nih.gov/sites/entrez?Db=pubmed&amp;Cmd=ShowDetailView&amp;TermToSearch=17452892&amp;ordinalpos=6&amp;itool=EntrezSystem2.PEntrez.Pubmed.Pubmed_ResultsPanel.Pubmed_RVDocSum</vt:lpwstr>
      </vt:variant>
      <vt:variant>
        <vt:lpwstr/>
      </vt:variant>
      <vt:variant>
        <vt:i4>2752588</vt:i4>
      </vt:variant>
      <vt:variant>
        <vt:i4>21</vt:i4>
      </vt:variant>
      <vt:variant>
        <vt:i4>0</vt:i4>
      </vt:variant>
      <vt:variant>
        <vt:i4>5</vt:i4>
      </vt:variant>
      <vt:variant>
        <vt:lpwstr>javascript:AL_get(this, 'jour', 'Am J Transplant.');</vt:lpwstr>
      </vt:variant>
      <vt:variant>
        <vt:lpwstr/>
      </vt:variant>
      <vt:variant>
        <vt:i4>3145805</vt:i4>
      </vt:variant>
      <vt:variant>
        <vt:i4>18</vt:i4>
      </vt:variant>
      <vt:variant>
        <vt:i4>0</vt:i4>
      </vt:variant>
      <vt:variant>
        <vt:i4>5</vt:i4>
      </vt:variant>
      <vt:variant>
        <vt:lpwstr>javascript:AL_get(this, 'jour', 'Transplantation.');</vt:lpwstr>
      </vt:variant>
      <vt:variant>
        <vt:lpwstr/>
      </vt:variant>
      <vt:variant>
        <vt:i4>852065</vt:i4>
      </vt:variant>
      <vt:variant>
        <vt:i4>15</vt:i4>
      </vt:variant>
      <vt:variant>
        <vt:i4>0</vt:i4>
      </vt:variant>
      <vt:variant>
        <vt:i4>5</vt:i4>
      </vt:variant>
      <vt:variant>
        <vt:lpwstr>http://www.ncbi.nlm.nih.gov/entrez/query.fcgi?db=pubmed&amp;cmd=Search&amp;itool=pubmed_Abstract&amp;term=%22Susal+C%22%5BAuthor%5D</vt:lpwstr>
      </vt:variant>
      <vt:variant>
        <vt:lpwstr/>
      </vt:variant>
      <vt:variant>
        <vt:i4>65642</vt:i4>
      </vt:variant>
      <vt:variant>
        <vt:i4>12</vt:i4>
      </vt:variant>
      <vt:variant>
        <vt:i4>0</vt:i4>
      </vt:variant>
      <vt:variant>
        <vt:i4>5</vt:i4>
      </vt:variant>
      <vt:variant>
        <vt:lpwstr>http://www.ncbi.nlm.nih.gov/entrez/query.fcgi?db=pubmed&amp;cmd=Search&amp;itool=pubmed_Abstract&amp;term=%22Pelzl+S%22%5BAuthor%5D</vt:lpwstr>
      </vt:variant>
      <vt:variant>
        <vt:lpwstr/>
      </vt:variant>
      <vt:variant>
        <vt:i4>121</vt:i4>
      </vt:variant>
      <vt:variant>
        <vt:i4>9</vt:i4>
      </vt:variant>
      <vt:variant>
        <vt:i4>0</vt:i4>
      </vt:variant>
      <vt:variant>
        <vt:i4>5</vt:i4>
      </vt:variant>
      <vt:variant>
        <vt:lpwstr>http://www.ncbi.nlm.nih.gov/entrez/query.fcgi?db=pubmed&amp;cmd=Search&amp;itool=pubmed_Abstract&amp;term=%22Helin+H%22%5BAuthor%5D</vt:lpwstr>
      </vt:variant>
      <vt:variant>
        <vt:lpwstr/>
      </vt:variant>
      <vt:variant>
        <vt:i4>4456499</vt:i4>
      </vt:variant>
      <vt:variant>
        <vt:i4>6</vt:i4>
      </vt:variant>
      <vt:variant>
        <vt:i4>0</vt:i4>
      </vt:variant>
      <vt:variant>
        <vt:i4>5</vt:i4>
      </vt:variant>
      <vt:variant>
        <vt:lpwstr>http://www.ncbi.nlm.nih.gov/entrez/query.fcgi?db=pubmed&amp;cmd=Search&amp;itool=pubmed_Abstract&amp;term=%22Salmela+KT%22%5BAuthor%5D</vt:lpwstr>
      </vt:variant>
      <vt:variant>
        <vt:lpwstr/>
      </vt:variant>
      <vt:variant>
        <vt:i4>4259879</vt:i4>
      </vt:variant>
      <vt:variant>
        <vt:i4>3</vt:i4>
      </vt:variant>
      <vt:variant>
        <vt:i4>0</vt:i4>
      </vt:variant>
      <vt:variant>
        <vt:i4>5</vt:i4>
      </vt:variant>
      <vt:variant>
        <vt:lpwstr>http://www.ncbi.nlm.nih.gov/entrez/query.fcgi?db=pubmed&amp;cmd=Search&amp;itool=pubmed_Abstract&amp;term=%22Kyllonen+LE%22%5BAuthor%5D</vt:lpwstr>
      </vt:variant>
      <vt:variant>
        <vt:lpwstr/>
      </vt:variant>
      <vt:variant>
        <vt:i4>2424911</vt:i4>
      </vt:variant>
      <vt:variant>
        <vt:i4>0</vt:i4>
      </vt:variant>
      <vt:variant>
        <vt:i4>0</vt:i4>
      </vt:variant>
      <vt:variant>
        <vt:i4>5</vt:i4>
      </vt:variant>
      <vt:variant>
        <vt:lpwstr>http://www.ncbi.nlm.nih.gov/entrez/query.fcgi?db=pubmed&amp;cmd=Search&amp;itool=pubmed_Abstract&amp;term=%22Matinlauri+IH%22%5BAuthor%5D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Houston</dc:title>
  <dc:subject>Professur Nephrologie</dc:subject>
  <dc:creator>Prof. Süsal</dc:creator>
  <cp:lastModifiedBy>Soner Gündemir</cp:lastModifiedBy>
  <cp:revision>2</cp:revision>
  <cp:lastPrinted>2020-12-14T10:07:00Z</cp:lastPrinted>
  <dcterms:created xsi:type="dcterms:W3CDTF">2022-01-18T12:03:00Z</dcterms:created>
  <dcterms:modified xsi:type="dcterms:W3CDTF">2022-01-18T12:03:00Z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0x010100C72F9F114431C244830045A5B902626B</vt:lpwstr>
  </property>
</Properties>
</file>